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95567" w14:textId="77777777" w:rsidR="00236901" w:rsidRDefault="00236901" w:rsidP="00236901">
      <w:pPr>
        <w:spacing w:before="360"/>
        <w:ind w:right="95"/>
        <w:jc w:val="center"/>
      </w:pPr>
      <w:r>
        <w:rPr>
          <w:caps/>
          <w:noProof/>
          <w:lang w:eastAsia="en-AU"/>
        </w:rPr>
        <w:drawing>
          <wp:inline distT="0" distB="0" distL="0" distR="0" wp14:anchorId="0689556C" wp14:editId="0689556D">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754CCD5F" w14:textId="68CAB4C9" w:rsidR="00290965" w:rsidRPr="004E5863" w:rsidRDefault="00236901" w:rsidP="004E5863">
      <w:pPr>
        <w:pStyle w:val="Title"/>
      </w:pPr>
      <w:r w:rsidRPr="004E5863">
        <w:t>Australi</w:t>
      </w:r>
      <w:r w:rsidR="00476745" w:rsidRPr="004E5863">
        <w:t>an Government response to the Select Committee on </w:t>
      </w:r>
      <w:r w:rsidR="003250F7" w:rsidRPr="004E5863">
        <w:t>Autism</w:t>
      </w:r>
      <w:r w:rsidR="00476745" w:rsidRPr="004E5863">
        <w:t> </w:t>
      </w:r>
      <w:r w:rsidR="00290965" w:rsidRPr="004E5863">
        <w:t xml:space="preserve">report: </w:t>
      </w:r>
    </w:p>
    <w:p w14:paraId="06895569" w14:textId="218B3A6B" w:rsidR="00236901" w:rsidRPr="004E5863" w:rsidRDefault="003250F7" w:rsidP="004E5863">
      <w:pPr>
        <w:pStyle w:val="Title"/>
      </w:pPr>
      <w:r w:rsidRPr="004E5863">
        <w:t>Services, support and life outcomes for autistic Australians</w:t>
      </w:r>
    </w:p>
    <w:p w14:paraId="0689556A" w14:textId="1A4B44BC" w:rsidR="00236901" w:rsidRPr="00491ADE" w:rsidRDefault="00BA3C35" w:rsidP="00D04818">
      <w:pPr>
        <w:spacing w:before="8880" w:after="240"/>
        <w:jc w:val="right"/>
        <w:rPr>
          <w:caps/>
          <w:sz w:val="28"/>
          <w:szCs w:val="28"/>
        </w:rPr>
      </w:pPr>
      <w:r>
        <w:rPr>
          <w:caps/>
          <w:sz w:val="28"/>
          <w:szCs w:val="28"/>
        </w:rPr>
        <w:t>DECEMBER</w:t>
      </w:r>
      <w:r w:rsidR="00362441" w:rsidRPr="00144A8C">
        <w:rPr>
          <w:caps/>
          <w:sz w:val="28"/>
          <w:szCs w:val="28"/>
        </w:rPr>
        <w:t xml:space="preserve"> 2022</w:t>
      </w:r>
    </w:p>
    <w:p w14:paraId="5A910E03" w14:textId="574D160B" w:rsidR="00A12901" w:rsidRDefault="00A12901">
      <w:pPr>
        <w:spacing w:after="160" w:line="259" w:lineRule="auto"/>
      </w:pPr>
      <w:r>
        <w:br w:type="page"/>
      </w:r>
    </w:p>
    <w:p w14:paraId="20B4EC37" w14:textId="58794B92" w:rsidR="00563A83" w:rsidRDefault="00563A83" w:rsidP="00A12901">
      <w:pPr>
        <w:pStyle w:val="Heading1"/>
      </w:pPr>
      <w:r w:rsidRPr="008E2DF6">
        <w:lastRenderedPageBreak/>
        <w:t>Introd</w:t>
      </w:r>
      <w:r w:rsidR="00A12901">
        <w:t>u</w:t>
      </w:r>
      <w:r w:rsidRPr="008E2DF6">
        <w:t>ction</w:t>
      </w:r>
    </w:p>
    <w:p w14:paraId="235BD14C" w14:textId="5A996AB6" w:rsidR="00ED2A10" w:rsidRPr="008E2DF6" w:rsidRDefault="008D694A" w:rsidP="00A12901">
      <w:pPr>
        <w:spacing w:after="240"/>
      </w:pPr>
      <w:r w:rsidRPr="003D4807">
        <w:t xml:space="preserve">The Australian Government welcomes the Senate </w:t>
      </w:r>
      <w:r w:rsidR="00996026" w:rsidRPr="003D4807">
        <w:t>Select Committee</w:t>
      </w:r>
      <w:r w:rsidR="00C30662">
        <w:t xml:space="preserve"> on Autism</w:t>
      </w:r>
      <w:r w:rsidRPr="003D4807">
        <w:t xml:space="preserve"> </w:t>
      </w:r>
      <w:r w:rsidR="00065A76">
        <w:t>(the c</w:t>
      </w:r>
      <w:r w:rsidR="00996026" w:rsidRPr="003D4807">
        <w:t xml:space="preserve">ommittee) </w:t>
      </w:r>
      <w:r w:rsidR="00A223A5" w:rsidRPr="003D4807">
        <w:t>final report from their inquiry into</w:t>
      </w:r>
      <w:r w:rsidR="00996026" w:rsidRPr="003D4807">
        <w:t xml:space="preserve"> </w:t>
      </w:r>
      <w:r w:rsidRPr="003D4807">
        <w:t>services</w:t>
      </w:r>
      <w:r w:rsidR="00996026" w:rsidRPr="003D4807">
        <w:t>,</w:t>
      </w:r>
      <w:r w:rsidRPr="003D4807">
        <w:t xml:space="preserve"> support and life outcomes for autistic Australians.</w:t>
      </w:r>
    </w:p>
    <w:p w14:paraId="2A9FA7B2" w14:textId="30E76B5B" w:rsidR="008D694A" w:rsidRPr="000C1AF5" w:rsidRDefault="00ED2A10" w:rsidP="000C1AF5">
      <w:pPr>
        <w:spacing w:after="240"/>
        <w:rPr>
          <w:rFonts w:eastAsiaTheme="minorEastAsia"/>
          <w:lang w:val="en-NZ"/>
        </w:rPr>
      </w:pPr>
      <w:r w:rsidRPr="003D4807">
        <w:rPr>
          <w:rFonts w:eastAsiaTheme="minorEastAsia"/>
          <w:lang w:val="en-NZ"/>
        </w:rPr>
        <w:t xml:space="preserve">The Australian Government is committed to improving services and outcomes for all Australians with disability, including autistic Australians. </w:t>
      </w:r>
    </w:p>
    <w:p w14:paraId="0487AEA3" w14:textId="0657B7A6" w:rsidR="00996026" w:rsidRPr="003D4807" w:rsidRDefault="00065A76" w:rsidP="000C1AF5">
      <w:pPr>
        <w:spacing w:after="240"/>
      </w:pPr>
      <w:r>
        <w:t>The c</w:t>
      </w:r>
      <w:r w:rsidR="008D694A" w:rsidRPr="003D4807">
        <w:t>ommittee</w:t>
      </w:r>
      <w:r w:rsidR="00563A83" w:rsidRPr="003D4807">
        <w:t xml:space="preserve"> tabled their </w:t>
      </w:r>
      <w:r w:rsidR="008D694A" w:rsidRPr="003D4807">
        <w:t xml:space="preserve">final report on Friday 25 March 2022. </w:t>
      </w:r>
      <w:r w:rsidR="00996026" w:rsidRPr="003D4807">
        <w:t xml:space="preserve">The report makes 81 recommendations and </w:t>
      </w:r>
      <w:r w:rsidR="00B6710A">
        <w:t>5</w:t>
      </w:r>
      <w:r w:rsidR="00B6710A" w:rsidRPr="003D4807">
        <w:t xml:space="preserve"> </w:t>
      </w:r>
      <w:r w:rsidR="008D694A" w:rsidRPr="003D4807">
        <w:t>dissenting recommendations.</w:t>
      </w:r>
      <w:r>
        <w:t xml:space="preserve"> The c</w:t>
      </w:r>
      <w:r w:rsidR="00913763" w:rsidRPr="003D4807">
        <w:t>ommittee supports the development of a person and family-centred National Autism Strategy that establishes a clear roadmap, with specific goals and targets, to drive comprehen</w:t>
      </w:r>
      <w:r w:rsidR="00725059">
        <w:t>sive and coordinated efforts to </w:t>
      </w:r>
      <w:r w:rsidR="00913763" w:rsidRPr="003D4807">
        <w:t xml:space="preserve">improve life outcomes for autistic people. </w:t>
      </w:r>
    </w:p>
    <w:p w14:paraId="210B7B07" w14:textId="1D1C0C91" w:rsidR="00913763" w:rsidRPr="003D4807" w:rsidRDefault="00065A76" w:rsidP="000C1AF5">
      <w:pPr>
        <w:spacing w:after="240"/>
      </w:pPr>
      <w:r>
        <w:t>The c</w:t>
      </w:r>
      <w:r w:rsidR="00996026" w:rsidRPr="003D4807">
        <w:t>ommittee recommends the</w:t>
      </w:r>
      <w:r w:rsidR="00913763" w:rsidRPr="003D4807">
        <w:t xml:space="preserve"> National Autism Strategy be co-designed by the autistic community and address whole-of-life needs for all autistic people, and include targeted actions to support </w:t>
      </w:r>
      <w:r w:rsidR="00CC1B0B">
        <w:t>priority</w:t>
      </w:r>
      <w:r w:rsidR="000C1AF5">
        <w:t xml:space="preserve"> cohorts.</w:t>
      </w:r>
    </w:p>
    <w:p w14:paraId="6A955FA1" w14:textId="09014206" w:rsidR="008D694A" w:rsidRPr="003D4807" w:rsidRDefault="00996026" w:rsidP="000C1AF5">
      <w:pPr>
        <w:spacing w:after="240"/>
      </w:pPr>
      <w:r w:rsidRPr="003D4807">
        <w:t xml:space="preserve">Key priorities identified </w:t>
      </w:r>
      <w:r w:rsidR="00065A76">
        <w:t>by the c</w:t>
      </w:r>
      <w:r w:rsidR="00913763" w:rsidRPr="003D4807">
        <w:t>ommittee include:</w:t>
      </w:r>
    </w:p>
    <w:p w14:paraId="7BF1AF3E" w14:textId="77777777" w:rsidR="00996026" w:rsidRPr="003D4807" w:rsidRDefault="00996026" w:rsidP="00996026">
      <w:pPr>
        <w:pStyle w:val="ListParagraph"/>
        <w:numPr>
          <w:ilvl w:val="0"/>
          <w:numId w:val="7"/>
        </w:numPr>
        <w:spacing w:after="0" w:line="240" w:lineRule="auto"/>
        <w:ind w:left="714" w:hanging="357"/>
        <w:rPr>
          <w:rFonts w:ascii="Times New Roman" w:hAnsi="Times New Roman" w:cs="Times New Roman"/>
          <w:sz w:val="24"/>
          <w:szCs w:val="24"/>
        </w:rPr>
      </w:pPr>
      <w:r w:rsidRPr="003D4807">
        <w:rPr>
          <w:rFonts w:ascii="Times New Roman" w:hAnsi="Times New Roman" w:cs="Times New Roman"/>
          <w:sz w:val="24"/>
          <w:szCs w:val="24"/>
        </w:rPr>
        <w:t>building understanding of autism within key professions and across the wider community;</w:t>
      </w:r>
    </w:p>
    <w:p w14:paraId="01DCD14B" w14:textId="77777777" w:rsidR="00996026" w:rsidRPr="003D4807" w:rsidRDefault="00996026" w:rsidP="00996026">
      <w:pPr>
        <w:pStyle w:val="ListParagraph"/>
        <w:numPr>
          <w:ilvl w:val="0"/>
          <w:numId w:val="7"/>
        </w:numPr>
        <w:spacing w:after="0" w:line="240" w:lineRule="auto"/>
        <w:ind w:left="714" w:hanging="357"/>
        <w:rPr>
          <w:rFonts w:ascii="Times New Roman" w:hAnsi="Times New Roman" w:cs="Times New Roman"/>
          <w:sz w:val="24"/>
          <w:szCs w:val="24"/>
        </w:rPr>
      </w:pPr>
      <w:r w:rsidRPr="003D4807">
        <w:rPr>
          <w:rFonts w:ascii="Times New Roman" w:hAnsi="Times New Roman" w:cs="Times New Roman"/>
          <w:sz w:val="24"/>
          <w:szCs w:val="24"/>
        </w:rPr>
        <w:t>improving access to early diagnosis and intervention;</w:t>
      </w:r>
    </w:p>
    <w:p w14:paraId="0F55CFCA" w14:textId="77777777" w:rsidR="00996026" w:rsidRPr="003D4807" w:rsidRDefault="00996026" w:rsidP="00996026">
      <w:pPr>
        <w:pStyle w:val="ListParagraph"/>
        <w:numPr>
          <w:ilvl w:val="0"/>
          <w:numId w:val="7"/>
        </w:numPr>
        <w:spacing w:after="0" w:line="240" w:lineRule="auto"/>
        <w:ind w:left="714" w:hanging="357"/>
        <w:rPr>
          <w:rFonts w:ascii="Times New Roman" w:hAnsi="Times New Roman" w:cs="Times New Roman"/>
          <w:sz w:val="24"/>
          <w:szCs w:val="24"/>
        </w:rPr>
      </w:pPr>
      <w:r w:rsidRPr="003D4807">
        <w:rPr>
          <w:rFonts w:ascii="Times New Roman" w:hAnsi="Times New Roman" w:cs="Times New Roman"/>
          <w:sz w:val="24"/>
          <w:szCs w:val="24"/>
        </w:rPr>
        <w:t>improving service integration and coordination;</w:t>
      </w:r>
    </w:p>
    <w:p w14:paraId="6A112BEF" w14:textId="77777777" w:rsidR="00996026" w:rsidRPr="003D4807" w:rsidRDefault="00996026" w:rsidP="00996026">
      <w:pPr>
        <w:pStyle w:val="ListParagraph"/>
        <w:numPr>
          <w:ilvl w:val="0"/>
          <w:numId w:val="7"/>
        </w:numPr>
        <w:spacing w:after="0" w:line="240" w:lineRule="auto"/>
        <w:ind w:left="714" w:hanging="357"/>
        <w:rPr>
          <w:rFonts w:ascii="Times New Roman" w:hAnsi="Times New Roman" w:cs="Times New Roman"/>
          <w:sz w:val="24"/>
          <w:szCs w:val="24"/>
        </w:rPr>
      </w:pPr>
      <w:r w:rsidRPr="003D4807">
        <w:rPr>
          <w:rFonts w:ascii="Times New Roman" w:hAnsi="Times New Roman" w:cs="Times New Roman"/>
          <w:sz w:val="24"/>
          <w:szCs w:val="24"/>
        </w:rPr>
        <w:t>improving education, employment and health services for autistic people;</w:t>
      </w:r>
    </w:p>
    <w:p w14:paraId="2FCF5F78" w14:textId="77777777" w:rsidR="00996026" w:rsidRPr="003D4807" w:rsidRDefault="00996026" w:rsidP="00996026">
      <w:pPr>
        <w:pStyle w:val="ListParagraph"/>
        <w:numPr>
          <w:ilvl w:val="0"/>
          <w:numId w:val="7"/>
        </w:numPr>
        <w:spacing w:after="0" w:line="240" w:lineRule="auto"/>
        <w:ind w:left="714" w:hanging="357"/>
        <w:rPr>
          <w:rFonts w:ascii="Times New Roman" w:hAnsi="Times New Roman" w:cs="Times New Roman"/>
          <w:sz w:val="24"/>
          <w:szCs w:val="24"/>
        </w:rPr>
      </w:pPr>
      <w:r w:rsidRPr="003D4807">
        <w:rPr>
          <w:rFonts w:ascii="Times New Roman" w:hAnsi="Times New Roman" w:cs="Times New Roman"/>
          <w:sz w:val="24"/>
          <w:szCs w:val="24"/>
        </w:rPr>
        <w:t>supporting parents and carers; and</w:t>
      </w:r>
    </w:p>
    <w:p w14:paraId="7A64A59E" w14:textId="76983621" w:rsidR="000C1AF5" w:rsidRPr="000C1AF5" w:rsidRDefault="00996026" w:rsidP="000C1AF5">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3D4807">
        <w:rPr>
          <w:rFonts w:ascii="Times New Roman" w:hAnsi="Times New Roman" w:cs="Times New Roman"/>
          <w:sz w:val="24"/>
          <w:szCs w:val="24"/>
        </w:rPr>
        <w:t>establishing a national autism research agenda.</w:t>
      </w:r>
    </w:p>
    <w:p w14:paraId="5985950D" w14:textId="241B666B" w:rsidR="0010624F" w:rsidRPr="003D4807" w:rsidRDefault="0010624F" w:rsidP="000C1AF5">
      <w:pPr>
        <w:spacing w:after="240"/>
        <w:rPr>
          <w:rFonts w:eastAsiaTheme="minorEastAsia"/>
          <w:lang w:val="en-NZ"/>
        </w:rPr>
      </w:pPr>
      <w:r w:rsidRPr="004E43FB">
        <w:rPr>
          <w:rFonts w:eastAsiaTheme="minorEastAsia"/>
          <w:lang w:val="en-NZ"/>
        </w:rPr>
        <w:t xml:space="preserve">The Australian Government supports </w:t>
      </w:r>
      <w:r w:rsidR="00563A83" w:rsidRPr="004E43FB">
        <w:rPr>
          <w:rFonts w:eastAsiaTheme="minorEastAsia"/>
          <w:lang w:val="en-NZ"/>
        </w:rPr>
        <w:t>the development of</w:t>
      </w:r>
      <w:r w:rsidRPr="004E43FB">
        <w:rPr>
          <w:rFonts w:eastAsiaTheme="minorEastAsia"/>
          <w:lang w:val="en-NZ"/>
        </w:rPr>
        <w:t xml:space="preserve"> a National Autism</w:t>
      </w:r>
      <w:r w:rsidR="00563A83" w:rsidRPr="004E43FB">
        <w:rPr>
          <w:rFonts w:eastAsiaTheme="minorEastAsia"/>
          <w:lang w:val="en-NZ"/>
        </w:rPr>
        <w:t xml:space="preserve"> Strategy. The </w:t>
      </w:r>
      <w:r w:rsidRPr="004E43FB">
        <w:rPr>
          <w:rFonts w:eastAsiaTheme="minorEastAsia"/>
          <w:lang w:val="en-NZ"/>
        </w:rPr>
        <w:t>Australian Government supports</w:t>
      </w:r>
      <w:r w:rsidR="00A223A5" w:rsidRPr="004E43FB">
        <w:rPr>
          <w:rFonts w:eastAsiaTheme="minorEastAsia"/>
          <w:lang w:val="en-NZ"/>
        </w:rPr>
        <w:t>,</w:t>
      </w:r>
      <w:r w:rsidRPr="004E43FB">
        <w:rPr>
          <w:rFonts w:eastAsiaTheme="minorEastAsia"/>
          <w:lang w:val="en-NZ"/>
        </w:rPr>
        <w:t xml:space="preserve"> or supports in principle</w:t>
      </w:r>
      <w:r w:rsidR="00A223A5" w:rsidRPr="004E43FB">
        <w:rPr>
          <w:rFonts w:eastAsiaTheme="minorEastAsia"/>
          <w:lang w:val="en-NZ"/>
        </w:rPr>
        <w:t>,</w:t>
      </w:r>
      <w:r w:rsidRPr="004E43FB">
        <w:rPr>
          <w:rFonts w:eastAsiaTheme="minorEastAsia"/>
          <w:lang w:val="en-NZ"/>
        </w:rPr>
        <w:t xml:space="preserve"> or partially s</w:t>
      </w:r>
      <w:r w:rsidR="00A223A5" w:rsidRPr="004E43FB">
        <w:rPr>
          <w:rFonts w:eastAsiaTheme="minorEastAsia"/>
          <w:lang w:val="en-NZ"/>
        </w:rPr>
        <w:t xml:space="preserve">upports, </w:t>
      </w:r>
      <w:r w:rsidR="00E72026" w:rsidRPr="004E43FB">
        <w:rPr>
          <w:rFonts w:eastAsiaTheme="minorEastAsia"/>
          <w:lang w:val="en-NZ"/>
        </w:rPr>
        <w:t>7</w:t>
      </w:r>
      <w:r w:rsidR="00461373" w:rsidRPr="004E43FB">
        <w:rPr>
          <w:rFonts w:eastAsiaTheme="minorEastAsia"/>
          <w:lang w:val="en-NZ"/>
        </w:rPr>
        <w:t>3</w:t>
      </w:r>
      <w:r w:rsidR="00E72026" w:rsidRPr="004E43FB">
        <w:rPr>
          <w:rFonts w:eastAsiaTheme="minorEastAsia"/>
          <w:lang w:val="en-NZ"/>
        </w:rPr>
        <w:t xml:space="preserve"> </w:t>
      </w:r>
      <w:r w:rsidR="00065A76" w:rsidRPr="004E43FB">
        <w:rPr>
          <w:rFonts w:eastAsiaTheme="minorEastAsia"/>
          <w:lang w:val="en-NZ"/>
        </w:rPr>
        <w:t>of the c</w:t>
      </w:r>
      <w:r w:rsidR="00E72026" w:rsidRPr="004E43FB">
        <w:rPr>
          <w:rFonts w:eastAsiaTheme="minorEastAsia"/>
          <w:lang w:val="en-NZ"/>
        </w:rPr>
        <w:t>ommittee’s</w:t>
      </w:r>
      <w:r w:rsidR="006E30A4">
        <w:rPr>
          <w:rFonts w:eastAsiaTheme="minorEastAsia"/>
          <w:lang w:val="en-NZ"/>
        </w:rPr>
        <w:t xml:space="preserve"> recommendations, and 3 of the d</w:t>
      </w:r>
      <w:r w:rsidR="00E72026" w:rsidRPr="004E43FB">
        <w:rPr>
          <w:rFonts w:eastAsiaTheme="minorEastAsia"/>
          <w:lang w:val="en-NZ"/>
        </w:rPr>
        <w:t>issenting report recommendations.</w:t>
      </w:r>
      <w:r w:rsidR="006E6E6C" w:rsidRPr="004E43FB">
        <w:t xml:space="preserve"> </w:t>
      </w:r>
      <w:r w:rsidR="005D6C9C" w:rsidRPr="004E43FB">
        <w:rPr>
          <w:rFonts w:eastAsiaTheme="minorEastAsia"/>
          <w:lang w:val="en-NZ"/>
        </w:rPr>
        <w:t xml:space="preserve">The Australian </w:t>
      </w:r>
      <w:r w:rsidR="006E6E6C" w:rsidRPr="004E43FB">
        <w:rPr>
          <w:rFonts w:eastAsiaTheme="minorEastAsia"/>
          <w:lang w:val="en-NZ"/>
        </w:rPr>
        <w:t>Government does not support 2 of the committee’s recommendations and noted an additional 6</w:t>
      </w:r>
      <w:r w:rsidR="004E43FB">
        <w:rPr>
          <w:rFonts w:eastAsiaTheme="minorEastAsia"/>
          <w:lang w:val="en-NZ"/>
        </w:rPr>
        <w:t>,</w:t>
      </w:r>
      <w:r w:rsidR="006E6E6C" w:rsidRPr="004E43FB">
        <w:rPr>
          <w:rFonts w:eastAsiaTheme="minorEastAsia"/>
          <w:lang w:val="en-NZ"/>
        </w:rPr>
        <w:t xml:space="preserve"> and </w:t>
      </w:r>
      <w:r w:rsidR="009917E9" w:rsidRPr="004E43FB">
        <w:rPr>
          <w:rFonts w:eastAsiaTheme="minorEastAsia"/>
          <w:lang w:val="en-NZ"/>
        </w:rPr>
        <w:t xml:space="preserve">noted </w:t>
      </w:r>
      <w:r w:rsidR="006E6E6C" w:rsidRPr="004E43FB">
        <w:rPr>
          <w:rFonts w:eastAsiaTheme="minorEastAsia"/>
          <w:lang w:val="en-NZ"/>
        </w:rPr>
        <w:t>2 of the dissenting report recommendations.</w:t>
      </w:r>
    </w:p>
    <w:p w14:paraId="15DB7830" w14:textId="0E63BD23" w:rsidR="008D694A" w:rsidRPr="00D63C45" w:rsidRDefault="00ED2A10" w:rsidP="000C1AF5">
      <w:pPr>
        <w:spacing w:after="240"/>
        <w:rPr>
          <w:rFonts w:eastAsiaTheme="minorEastAsia"/>
          <w:i/>
          <w:lang w:val="en-NZ"/>
        </w:rPr>
      </w:pPr>
      <w:r w:rsidRPr="00D63C45">
        <w:rPr>
          <w:rFonts w:eastAsiaTheme="minorEastAsia"/>
          <w:i/>
          <w:lang w:val="en-NZ"/>
        </w:rPr>
        <w:t>The Australian Government acknowledges that people use many terms when referring to autism, and that each individual will have a preferred way of communicating and self</w:t>
      </w:r>
      <w:r w:rsidRPr="00D63C45">
        <w:rPr>
          <w:rFonts w:eastAsiaTheme="minorEastAsia"/>
          <w:i/>
          <w:lang w:val="en-NZ"/>
        </w:rPr>
        <w:noBreakHyphen/>
        <w:t xml:space="preserve">describing. </w:t>
      </w:r>
      <w:r w:rsidR="00B57C30" w:rsidRPr="00D63C45">
        <w:rPr>
          <w:rFonts w:eastAsiaTheme="minorEastAsia"/>
          <w:i/>
          <w:lang w:val="en-NZ"/>
        </w:rPr>
        <w:t xml:space="preserve">There are people in the autistic community who either prefer the terms ‘identity first language;’ or ‘people first language’ or interchange between both. </w:t>
      </w:r>
      <w:r w:rsidRPr="00D63C45">
        <w:rPr>
          <w:rFonts w:eastAsiaTheme="minorEastAsia"/>
          <w:i/>
          <w:lang w:val="en-NZ"/>
        </w:rPr>
        <w:t>The Australian Government has used identi</w:t>
      </w:r>
      <w:r w:rsidR="00506508" w:rsidRPr="00D63C45">
        <w:rPr>
          <w:rFonts w:eastAsiaTheme="minorEastAsia"/>
          <w:i/>
          <w:lang w:val="en-NZ"/>
        </w:rPr>
        <w:t>t</w:t>
      </w:r>
      <w:r w:rsidRPr="00D63C45">
        <w:rPr>
          <w:rFonts w:eastAsiaTheme="minorEastAsia"/>
          <w:i/>
          <w:lang w:val="en-NZ"/>
        </w:rPr>
        <w:t xml:space="preserve">y first language </w:t>
      </w:r>
      <w:r w:rsidR="00583623" w:rsidRPr="00D63C45">
        <w:rPr>
          <w:rFonts w:eastAsiaTheme="minorEastAsia"/>
          <w:i/>
          <w:lang w:val="en-NZ"/>
        </w:rPr>
        <w:t>in this</w:t>
      </w:r>
      <w:r w:rsidRPr="00D63C45">
        <w:rPr>
          <w:rFonts w:eastAsiaTheme="minorEastAsia"/>
          <w:i/>
          <w:lang w:val="en-NZ"/>
        </w:rPr>
        <w:t xml:space="preserve"> response, to ensure consistency with the committee’s final report and its terms of reference.</w:t>
      </w:r>
    </w:p>
    <w:p w14:paraId="309CBE50" w14:textId="0B031E23" w:rsidR="005066EC" w:rsidRPr="008E5635" w:rsidRDefault="00C30662" w:rsidP="008E5635">
      <w:r>
        <w:br w:type="page"/>
      </w:r>
    </w:p>
    <w:p w14:paraId="2A954E39" w14:textId="3893875E" w:rsidR="00A223A5" w:rsidRPr="00A12901" w:rsidRDefault="00A223A5" w:rsidP="00A12901">
      <w:pPr>
        <w:pStyle w:val="Heading1"/>
      </w:pPr>
      <w:r w:rsidRPr="00A12901">
        <w:lastRenderedPageBreak/>
        <w:t>Inquiry into services, support and life ou</w:t>
      </w:r>
      <w:r w:rsidR="00DC37D0" w:rsidRPr="00A12901">
        <w:t>tcomes for autistic Australians</w:t>
      </w:r>
    </w:p>
    <w:p w14:paraId="523158D2" w14:textId="0111AF08" w:rsidR="006D1480" w:rsidRPr="00A12901" w:rsidRDefault="006D1480" w:rsidP="00A12901">
      <w:pPr>
        <w:pStyle w:val="Heading2"/>
      </w:pPr>
      <w:r w:rsidRPr="00A12901">
        <w:t>Recommen</w:t>
      </w:r>
      <w:r w:rsidR="00065A76" w:rsidRPr="00A12901">
        <w:t>dations made by the c</w:t>
      </w:r>
      <w:r w:rsidR="00290965" w:rsidRPr="00A12901">
        <w:t>ommittee</w:t>
      </w:r>
    </w:p>
    <w:p w14:paraId="2222A9F5" w14:textId="77767BB8" w:rsidR="00444DC3" w:rsidRPr="008E5635" w:rsidRDefault="006D1480" w:rsidP="00A12901">
      <w:pPr>
        <w:pStyle w:val="Heading2"/>
      </w:pPr>
      <w:r w:rsidRPr="00444DC3">
        <w:t xml:space="preserve">A National Autism Strategy </w:t>
      </w:r>
    </w:p>
    <w:tbl>
      <w:tblPr>
        <w:tblStyle w:val="TableGrid"/>
        <w:tblW w:w="0" w:type="auto"/>
        <w:tblLook w:val="04A0" w:firstRow="1" w:lastRow="0" w:firstColumn="1" w:lastColumn="0" w:noHBand="0" w:noVBand="1"/>
        <w:tblDescription w:val="Decorative"/>
      </w:tblPr>
      <w:tblGrid>
        <w:gridCol w:w="9016"/>
      </w:tblGrid>
      <w:tr w:rsidR="00444DC3" w14:paraId="2B722BE0" w14:textId="77777777" w:rsidTr="005A51E2">
        <w:trPr>
          <w:trHeight w:val="3816"/>
        </w:trPr>
        <w:tc>
          <w:tcPr>
            <w:tcW w:w="9016" w:type="dxa"/>
          </w:tcPr>
          <w:p w14:paraId="525F049F" w14:textId="1DFE662E" w:rsidR="00444DC3" w:rsidRPr="00444DC3" w:rsidRDefault="00444DC3" w:rsidP="00444DC3">
            <w:pPr>
              <w:spacing w:before="60" w:line="276" w:lineRule="auto"/>
              <w:ind w:right="715" w:firstLine="29"/>
              <w:rPr>
                <w:b/>
              </w:rPr>
            </w:pPr>
            <w:r w:rsidRPr="00444DC3">
              <w:rPr>
                <w:b/>
              </w:rPr>
              <w:t>Recommendation 1</w:t>
            </w:r>
          </w:p>
          <w:p w14:paraId="789F2A30" w14:textId="7193E903" w:rsidR="00444DC3" w:rsidRPr="00C34C80" w:rsidRDefault="00444DC3" w:rsidP="00444DC3">
            <w:pPr>
              <w:spacing w:before="60" w:line="276" w:lineRule="auto"/>
              <w:ind w:right="715" w:firstLine="29"/>
            </w:pPr>
            <w:r w:rsidRPr="00C34C80">
              <w:t xml:space="preserve">The committee recommends that the </w:t>
            </w:r>
            <w:r>
              <w:t>Australian Government develop a National </w:t>
            </w:r>
            <w:r w:rsidRPr="00142C32">
              <w:t>Autism Strategy and accompanying</w:t>
            </w:r>
            <w:r w:rsidRPr="00C34C80">
              <w:t xml:space="preserve"> imp</w:t>
            </w:r>
            <w:r>
              <w:t>lementation within 12 months to </w:t>
            </w:r>
            <w:r w:rsidRPr="00C34C80">
              <w:t>drive nationally-coordinated action to improve services and supports for autistic Australians. The National Autism Strategy</w:t>
            </w:r>
            <w:r w:rsidRPr="00C34C80">
              <w:rPr>
                <w:spacing w:val="-13"/>
              </w:rPr>
              <w:t xml:space="preserve"> </w:t>
            </w:r>
            <w:r w:rsidRPr="00C34C80">
              <w:t>should:</w:t>
            </w:r>
          </w:p>
          <w:p w14:paraId="0D2277FD" w14:textId="77777777" w:rsidR="00444DC3" w:rsidRPr="00C34C80" w:rsidRDefault="00444DC3" w:rsidP="00444DC3">
            <w:pPr>
              <w:pStyle w:val="ListParagraph"/>
              <w:widowControl w:val="0"/>
              <w:numPr>
                <w:ilvl w:val="0"/>
                <w:numId w:val="1"/>
              </w:numPr>
              <w:tabs>
                <w:tab w:val="left" w:pos="1028"/>
              </w:tabs>
              <w:autoSpaceDE w:val="0"/>
              <w:autoSpaceDN w:val="0"/>
              <w:spacing w:before="121" w:after="0"/>
              <w:rPr>
                <w:rFonts w:ascii="Times New Roman" w:hAnsi="Times New Roman" w:cs="Times New Roman"/>
                <w:sz w:val="24"/>
                <w:szCs w:val="24"/>
              </w:rPr>
            </w:pPr>
            <w:r w:rsidRPr="00C34C80">
              <w:rPr>
                <w:rFonts w:ascii="Times New Roman" w:hAnsi="Times New Roman" w:cs="Times New Roman"/>
                <w:sz w:val="24"/>
                <w:szCs w:val="24"/>
              </w:rPr>
              <w:t>be both person-and</w:t>
            </w:r>
            <w:r w:rsidRPr="00C34C80">
              <w:rPr>
                <w:rFonts w:ascii="Times New Roman" w:hAnsi="Times New Roman" w:cs="Times New Roman"/>
                <w:spacing w:val="-4"/>
                <w:sz w:val="24"/>
                <w:szCs w:val="24"/>
              </w:rPr>
              <w:t xml:space="preserve"> </w:t>
            </w:r>
            <w:r w:rsidRPr="00C34C80">
              <w:rPr>
                <w:rFonts w:ascii="Times New Roman" w:hAnsi="Times New Roman" w:cs="Times New Roman"/>
                <w:sz w:val="24"/>
                <w:szCs w:val="24"/>
              </w:rPr>
              <w:t>family-centred;</w:t>
            </w:r>
          </w:p>
          <w:p w14:paraId="7E61E4D2" w14:textId="77777777" w:rsidR="00444DC3" w:rsidRPr="00C34C80" w:rsidRDefault="00444DC3" w:rsidP="00444DC3">
            <w:pPr>
              <w:pStyle w:val="ListParagraph"/>
              <w:widowControl w:val="0"/>
              <w:numPr>
                <w:ilvl w:val="0"/>
                <w:numId w:val="1"/>
              </w:numPr>
              <w:tabs>
                <w:tab w:val="left" w:pos="1028"/>
              </w:tabs>
              <w:autoSpaceDE w:val="0"/>
              <w:autoSpaceDN w:val="0"/>
              <w:rPr>
                <w:rFonts w:ascii="Times New Roman" w:hAnsi="Times New Roman" w:cs="Times New Roman"/>
                <w:sz w:val="24"/>
                <w:szCs w:val="24"/>
              </w:rPr>
            </w:pPr>
            <w:r w:rsidRPr="00C34C80">
              <w:rPr>
                <w:rFonts w:ascii="Times New Roman" w:hAnsi="Times New Roman" w:cs="Times New Roman"/>
                <w:sz w:val="24"/>
                <w:szCs w:val="24"/>
              </w:rPr>
              <w:t>address whole-of-life needs for people across the breadth of the</w:t>
            </w:r>
            <w:r w:rsidRPr="00C34C80">
              <w:rPr>
                <w:rFonts w:ascii="Times New Roman" w:hAnsi="Times New Roman" w:cs="Times New Roman"/>
                <w:spacing w:val="-11"/>
                <w:sz w:val="24"/>
                <w:szCs w:val="24"/>
              </w:rPr>
              <w:t xml:space="preserve"> </w:t>
            </w:r>
            <w:r w:rsidRPr="00C34C80">
              <w:rPr>
                <w:rFonts w:ascii="Times New Roman" w:hAnsi="Times New Roman" w:cs="Times New Roman"/>
                <w:sz w:val="24"/>
                <w:szCs w:val="24"/>
              </w:rPr>
              <w:t>spectrum;</w:t>
            </w:r>
          </w:p>
          <w:p w14:paraId="79CED074" w14:textId="77777777" w:rsidR="00444DC3" w:rsidRDefault="00444DC3" w:rsidP="00444DC3">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C34C80">
              <w:rPr>
                <w:rFonts w:ascii="Times New Roman" w:hAnsi="Times New Roman" w:cs="Times New Roman"/>
                <w:sz w:val="24"/>
                <w:szCs w:val="24"/>
              </w:rPr>
              <w:t>align with other national str</w:t>
            </w:r>
            <w:r>
              <w:rPr>
                <w:rFonts w:ascii="Times New Roman" w:hAnsi="Times New Roman" w:cs="Times New Roman"/>
                <w:sz w:val="24"/>
                <w:szCs w:val="24"/>
              </w:rPr>
              <w:t xml:space="preserve">ategies, including the National </w:t>
            </w:r>
            <w:r w:rsidRPr="00C34C80">
              <w:rPr>
                <w:rFonts w:ascii="Times New Roman" w:hAnsi="Times New Roman" w:cs="Times New Roman"/>
                <w:sz w:val="24"/>
                <w:szCs w:val="24"/>
              </w:rPr>
              <w:t>Disability Strategy;</w:t>
            </w:r>
            <w:r w:rsidRPr="00C34C80">
              <w:rPr>
                <w:rFonts w:ascii="Times New Roman" w:hAnsi="Times New Roman" w:cs="Times New Roman"/>
                <w:spacing w:val="-1"/>
                <w:sz w:val="24"/>
                <w:szCs w:val="24"/>
              </w:rPr>
              <w:t xml:space="preserve"> </w:t>
            </w:r>
            <w:r w:rsidRPr="00C34C80">
              <w:rPr>
                <w:rFonts w:ascii="Times New Roman" w:hAnsi="Times New Roman" w:cs="Times New Roman"/>
                <w:sz w:val="24"/>
                <w:szCs w:val="24"/>
              </w:rPr>
              <w:t>and</w:t>
            </w:r>
          </w:p>
          <w:p w14:paraId="0EF6C1B6" w14:textId="249F3270" w:rsidR="00444DC3" w:rsidRPr="00444DC3" w:rsidRDefault="00444DC3" w:rsidP="00444DC3">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C34C80">
              <w:rPr>
                <w:rFonts w:ascii="Times New Roman" w:hAnsi="Times New Roman" w:cs="Times New Roman"/>
                <w:sz w:val="24"/>
                <w:szCs w:val="24"/>
              </w:rPr>
              <w:t>be informed by the recommendations of this inquiry and the Disability Royal Commission.</w:t>
            </w:r>
          </w:p>
        </w:tc>
      </w:tr>
    </w:tbl>
    <w:p w14:paraId="02B9D57B" w14:textId="77777777" w:rsidR="00DC37D0" w:rsidRPr="00DC37D0" w:rsidRDefault="00DC37D0" w:rsidP="00DC37D0">
      <w:pPr>
        <w:rPr>
          <w:rFonts w:eastAsiaTheme="minorEastAsia"/>
          <w:lang w:val="en-NZ"/>
        </w:rPr>
      </w:pPr>
    </w:p>
    <w:p w14:paraId="245A61A9" w14:textId="71DB3CD6" w:rsidR="00444DC3" w:rsidRPr="002E25EB" w:rsidRDefault="00664607" w:rsidP="00DC37D0">
      <w:pPr>
        <w:rPr>
          <w:rFonts w:eastAsiaTheme="minorEastAsia"/>
          <w:lang w:val="en-NZ"/>
        </w:rPr>
      </w:pPr>
      <w:r>
        <w:rPr>
          <w:rFonts w:eastAsiaTheme="minorEastAsia"/>
          <w:b/>
          <w:lang w:val="en-NZ"/>
        </w:rPr>
        <w:t>Support</w:t>
      </w:r>
      <w:r w:rsidR="00CC7F49">
        <w:rPr>
          <w:rFonts w:eastAsiaTheme="minorEastAsia"/>
          <w:b/>
          <w:lang w:val="en-NZ"/>
        </w:rPr>
        <w:t>ed</w:t>
      </w:r>
    </w:p>
    <w:p w14:paraId="23D9F69B" w14:textId="061A944D" w:rsidR="000407B3" w:rsidRPr="002E25EB" w:rsidRDefault="000407B3" w:rsidP="00DC37D0">
      <w:pPr>
        <w:spacing w:after="240"/>
        <w:rPr>
          <w:rFonts w:eastAsiaTheme="minorEastAsia"/>
          <w:lang w:val="en-NZ"/>
        </w:rPr>
      </w:pPr>
      <w:r>
        <w:rPr>
          <w:rFonts w:eastAsiaTheme="minorEastAsia"/>
          <w:lang w:val="en-NZ"/>
        </w:rPr>
        <w:t xml:space="preserve">The </w:t>
      </w:r>
      <w:r w:rsidR="005E2044">
        <w:rPr>
          <w:rFonts w:eastAsiaTheme="minorEastAsia"/>
          <w:lang w:val="en-NZ"/>
        </w:rPr>
        <w:t xml:space="preserve">Australian </w:t>
      </w:r>
      <w:r w:rsidR="002E33FB">
        <w:rPr>
          <w:rFonts w:eastAsiaTheme="minorEastAsia"/>
          <w:lang w:val="en-NZ"/>
        </w:rPr>
        <w:t xml:space="preserve">Government </w:t>
      </w:r>
      <w:r>
        <w:rPr>
          <w:rFonts w:eastAsiaTheme="minorEastAsia"/>
          <w:lang w:val="en-NZ"/>
        </w:rPr>
        <w:t xml:space="preserve">supports </w:t>
      </w:r>
      <w:r w:rsidR="00A6698E">
        <w:rPr>
          <w:rFonts w:eastAsiaTheme="minorEastAsia"/>
          <w:lang w:val="en-NZ"/>
        </w:rPr>
        <w:t>this recommendation and will work to develop and implem</w:t>
      </w:r>
      <w:r w:rsidR="00F31D08">
        <w:rPr>
          <w:rFonts w:eastAsiaTheme="minorEastAsia"/>
          <w:lang w:val="en-NZ"/>
        </w:rPr>
        <w:t>ent a National Autism</w:t>
      </w:r>
      <w:r w:rsidR="00F17995">
        <w:rPr>
          <w:rFonts w:eastAsiaTheme="minorEastAsia"/>
          <w:lang w:val="en-NZ"/>
        </w:rPr>
        <w:t xml:space="preserve"> Strategy within 12</w:t>
      </w:r>
      <w:r w:rsidR="00A6698E">
        <w:rPr>
          <w:rFonts w:eastAsiaTheme="minorEastAsia"/>
          <w:lang w:val="en-NZ"/>
        </w:rPr>
        <w:t xml:space="preserve"> months</w:t>
      </w:r>
      <w:r w:rsidR="00F31D08">
        <w:rPr>
          <w:rFonts w:eastAsiaTheme="minorEastAsia"/>
          <w:lang w:val="en-NZ"/>
        </w:rPr>
        <w:t xml:space="preserve"> with an aim to </w:t>
      </w:r>
      <w:r w:rsidR="00A6698E">
        <w:rPr>
          <w:rFonts w:eastAsiaTheme="minorEastAsia"/>
          <w:lang w:val="en-NZ"/>
        </w:rPr>
        <w:t xml:space="preserve">improving services and supports for autistic Australians. </w:t>
      </w:r>
      <w:r w:rsidR="006E6E6C">
        <w:rPr>
          <w:rFonts w:eastAsiaTheme="minorEastAsia"/>
          <w:lang w:val="en-NZ"/>
        </w:rPr>
        <w:t>The Government notes, to allow for extensive sector consultation on all components, it may take longer than 12 months to be</w:t>
      </w:r>
      <w:r w:rsidR="007722D1">
        <w:rPr>
          <w:rFonts w:eastAsiaTheme="minorEastAsia"/>
          <w:lang w:val="en-NZ"/>
        </w:rPr>
        <w:t xml:space="preserve"> developed and</w:t>
      </w:r>
      <w:r w:rsidR="006E6E6C">
        <w:rPr>
          <w:rFonts w:eastAsiaTheme="minorEastAsia"/>
          <w:lang w:val="en-NZ"/>
        </w:rPr>
        <w:t xml:space="preserve"> implemented in full. </w:t>
      </w:r>
    </w:p>
    <w:p w14:paraId="3F339ED7" w14:textId="12413335" w:rsidR="00524E54" w:rsidRDefault="006F29FE" w:rsidP="00DC37D0">
      <w:pPr>
        <w:spacing w:after="240"/>
        <w:rPr>
          <w:rFonts w:eastAsiaTheme="minorEastAsia"/>
          <w:lang w:val="en-NZ"/>
        </w:rPr>
      </w:pPr>
      <w:r>
        <w:rPr>
          <w:rFonts w:eastAsiaTheme="minorEastAsia"/>
          <w:lang w:val="en-NZ"/>
        </w:rPr>
        <w:t>D</w:t>
      </w:r>
      <w:r w:rsidR="00664607" w:rsidRPr="00BF44AF">
        <w:rPr>
          <w:rFonts w:eastAsiaTheme="minorEastAsia"/>
          <w:lang w:val="en-NZ"/>
        </w:rPr>
        <w:t xml:space="preserve">evelopment of </w:t>
      </w:r>
      <w:r w:rsidR="00664607">
        <w:rPr>
          <w:rFonts w:eastAsiaTheme="minorEastAsia"/>
          <w:lang w:val="en-NZ"/>
        </w:rPr>
        <w:t>a National</w:t>
      </w:r>
      <w:r w:rsidR="00664607" w:rsidRPr="00BF44AF">
        <w:rPr>
          <w:rFonts w:eastAsiaTheme="minorEastAsia"/>
          <w:lang w:val="en-NZ"/>
        </w:rPr>
        <w:t xml:space="preserve"> Autism Strategy</w:t>
      </w:r>
      <w:r>
        <w:rPr>
          <w:rFonts w:eastAsiaTheme="minorEastAsia"/>
          <w:lang w:val="en-NZ"/>
        </w:rPr>
        <w:t xml:space="preserve"> should</w:t>
      </w:r>
      <w:r w:rsidR="00664607" w:rsidRPr="00BF44AF">
        <w:rPr>
          <w:rFonts w:eastAsiaTheme="minorEastAsia"/>
          <w:lang w:val="en-NZ"/>
        </w:rPr>
        <w:t xml:space="preserve"> provide a</w:t>
      </w:r>
      <w:r>
        <w:rPr>
          <w:rFonts w:eastAsiaTheme="minorEastAsia"/>
          <w:lang w:val="en-NZ"/>
        </w:rPr>
        <w:t xml:space="preserve"> </w:t>
      </w:r>
      <w:r w:rsidR="00664607" w:rsidRPr="00BF44AF">
        <w:rPr>
          <w:rFonts w:eastAsiaTheme="minorEastAsia"/>
          <w:lang w:val="en-NZ"/>
        </w:rPr>
        <w:t xml:space="preserve">coordinated, long-term approach to how governments work to improve outcomes for </w:t>
      </w:r>
      <w:r w:rsidR="00D13713">
        <w:rPr>
          <w:rFonts w:eastAsiaTheme="minorEastAsia"/>
          <w:lang w:val="en-NZ"/>
        </w:rPr>
        <w:t>autistic people</w:t>
      </w:r>
      <w:r w:rsidR="00664607" w:rsidRPr="00BF44AF">
        <w:rPr>
          <w:rFonts w:eastAsiaTheme="minorEastAsia"/>
          <w:lang w:val="en-NZ"/>
        </w:rPr>
        <w:t>.</w:t>
      </w:r>
      <w:r w:rsidR="00F31D08">
        <w:rPr>
          <w:rFonts w:eastAsiaTheme="minorEastAsia"/>
          <w:lang w:val="en-NZ"/>
        </w:rPr>
        <w:t xml:space="preserve"> </w:t>
      </w:r>
    </w:p>
    <w:p w14:paraId="4CCE8663" w14:textId="676F9853" w:rsidR="00CA629D" w:rsidRPr="002B433E" w:rsidRDefault="00F31D08" w:rsidP="00DC37D0">
      <w:pPr>
        <w:spacing w:after="240"/>
      </w:pPr>
      <w:r>
        <w:rPr>
          <w:rFonts w:eastAsiaTheme="minorEastAsia"/>
          <w:lang w:val="en-NZ"/>
        </w:rPr>
        <w:t>A </w:t>
      </w:r>
      <w:r w:rsidR="001C7853">
        <w:rPr>
          <w:rFonts w:eastAsiaTheme="minorEastAsia"/>
          <w:lang w:val="en-NZ"/>
        </w:rPr>
        <w:t>National</w:t>
      </w:r>
      <w:r>
        <w:rPr>
          <w:rFonts w:eastAsiaTheme="minorEastAsia"/>
          <w:lang w:val="en-NZ"/>
        </w:rPr>
        <w:t> </w:t>
      </w:r>
      <w:r w:rsidR="00664607" w:rsidRPr="00BF44AF">
        <w:rPr>
          <w:rFonts w:eastAsiaTheme="minorEastAsia"/>
          <w:lang w:val="en-NZ"/>
        </w:rPr>
        <w:t>Autism Strategy should also clearly identify how it will contribute to achieving the outcomes of t</w:t>
      </w:r>
      <w:r w:rsidR="00664607">
        <w:rPr>
          <w:rFonts w:eastAsiaTheme="minorEastAsia"/>
          <w:lang w:val="en-NZ"/>
        </w:rPr>
        <w:t xml:space="preserve">he </w:t>
      </w:r>
      <w:r w:rsidR="001C7853">
        <w:rPr>
          <w:rFonts w:eastAsiaTheme="minorEastAsia"/>
          <w:lang w:val="en-NZ"/>
        </w:rPr>
        <w:t>Australia’s</w:t>
      </w:r>
      <w:r w:rsidR="00664607">
        <w:rPr>
          <w:rFonts w:eastAsiaTheme="minorEastAsia"/>
          <w:lang w:val="en-NZ"/>
        </w:rPr>
        <w:t xml:space="preserve"> Disability Strategy</w:t>
      </w:r>
      <w:r w:rsidR="00BE147A">
        <w:t xml:space="preserve"> </w:t>
      </w:r>
      <w:r>
        <w:t xml:space="preserve">2021-31 </w:t>
      </w:r>
      <w:r w:rsidR="007E4B9D">
        <w:t>(Australia’s Disability</w:t>
      </w:r>
      <w:r w:rsidR="001F6A13">
        <w:t xml:space="preserve"> </w:t>
      </w:r>
      <w:r w:rsidR="007E4B9D">
        <w:t xml:space="preserve">Strategy) </w:t>
      </w:r>
      <w:r w:rsidR="00BE147A">
        <w:rPr>
          <w:rFonts w:eastAsiaTheme="minorEastAsia"/>
          <w:lang w:val="en-NZ"/>
        </w:rPr>
        <w:t>and maintain</w:t>
      </w:r>
      <w:r w:rsidR="00664607" w:rsidRPr="00CA629D">
        <w:t xml:space="preserve"> a continued focus </w:t>
      </w:r>
      <w:r>
        <w:t xml:space="preserve">on </w:t>
      </w:r>
      <w:r w:rsidR="00664607" w:rsidRPr="00CA629D">
        <w:t>intersectionality enabling a more accurate, accessible and culturally sensitive understanding and response to the needs of all Australians</w:t>
      </w:r>
      <w:r w:rsidR="004B4A19">
        <w:t>.</w:t>
      </w:r>
      <w:r w:rsidR="005D402B">
        <w:t xml:space="preserve"> </w:t>
      </w:r>
      <w:r w:rsidR="009917E9">
        <w:t xml:space="preserve">It should also clearly identify how it will contribute to achieving the outcomes of the Early Years Strategy for autistic children. </w:t>
      </w:r>
    </w:p>
    <w:p w14:paraId="2215636F" w14:textId="476AB4C7" w:rsidR="005066EC" w:rsidRDefault="00A123CE" w:rsidP="001E2F73">
      <w:pPr>
        <w:spacing w:after="160" w:line="259" w:lineRule="auto"/>
        <w:rPr>
          <w:b/>
        </w:rPr>
      </w:pPr>
      <w:r>
        <w:rPr>
          <w:b/>
        </w:rPr>
        <w:br w:type="page"/>
      </w:r>
    </w:p>
    <w:tbl>
      <w:tblPr>
        <w:tblStyle w:val="TableGrid"/>
        <w:tblW w:w="0" w:type="auto"/>
        <w:tblLook w:val="04A0" w:firstRow="1" w:lastRow="0" w:firstColumn="1" w:lastColumn="0" w:noHBand="0" w:noVBand="1"/>
        <w:tblDescription w:val="Decorative"/>
      </w:tblPr>
      <w:tblGrid>
        <w:gridCol w:w="9016"/>
      </w:tblGrid>
      <w:tr w:rsidR="00444DC3" w14:paraId="567C846F" w14:textId="77777777" w:rsidTr="00444DC3">
        <w:tc>
          <w:tcPr>
            <w:tcW w:w="9016" w:type="dxa"/>
          </w:tcPr>
          <w:p w14:paraId="42E26C23" w14:textId="2F21DBFC" w:rsidR="00444DC3" w:rsidRDefault="00444DC3" w:rsidP="001E2F73">
            <w:pPr>
              <w:spacing w:after="160" w:line="259" w:lineRule="auto"/>
              <w:rPr>
                <w:b/>
              </w:rPr>
            </w:pPr>
            <w:r>
              <w:rPr>
                <w:b/>
              </w:rPr>
              <w:lastRenderedPageBreak/>
              <w:t>Recommendation 2</w:t>
            </w:r>
          </w:p>
          <w:p w14:paraId="498A0215" w14:textId="77777777" w:rsidR="00444DC3" w:rsidRDefault="00444DC3" w:rsidP="00444DC3">
            <w:pPr>
              <w:rPr>
                <w:rFonts w:eastAsiaTheme="minorHAnsi"/>
                <w:lang w:eastAsia="en-AU"/>
              </w:rPr>
            </w:pPr>
            <w:r w:rsidRPr="00C34C80">
              <w:t xml:space="preserve">The committee recommends that development of a </w:t>
            </w:r>
            <w:r w:rsidRPr="00142C32">
              <w:t>National Autism Strategy</w:t>
            </w:r>
            <w:r w:rsidRPr="00C34C80">
              <w:t xml:space="preserve"> be driven by a national taskforce established under the auspices of the National Federation Reform Council. The taskforce should adopt a </w:t>
            </w:r>
            <w:r>
              <w:t xml:space="preserve">co-design approach drawing on the autistic community, as well as parents, carers, researchers, and policy makers. </w:t>
            </w:r>
          </w:p>
          <w:p w14:paraId="63873EAE" w14:textId="0728DC56" w:rsidR="004300EE" w:rsidRPr="004300EE" w:rsidRDefault="00444DC3" w:rsidP="001E2F73">
            <w:pPr>
              <w:spacing w:after="160" w:line="259" w:lineRule="auto"/>
            </w:pPr>
            <w:r>
              <w:t>The definition of co</w:t>
            </w:r>
            <w:r>
              <w:noBreakHyphen/>
            </w:r>
            <w:r w:rsidRPr="00C34C80">
              <w:t>design, and the principles underpinning it, should be agreed at the start of the development process.</w:t>
            </w:r>
          </w:p>
        </w:tc>
      </w:tr>
    </w:tbl>
    <w:p w14:paraId="33E60297" w14:textId="386DE3A5" w:rsidR="00524E54" w:rsidRPr="002E25EB" w:rsidRDefault="00524E54" w:rsidP="00E35DA1">
      <w:pPr>
        <w:rPr>
          <w:rFonts w:eastAsiaTheme="minorEastAsia"/>
          <w:lang w:val="en-NZ"/>
        </w:rPr>
      </w:pPr>
    </w:p>
    <w:p w14:paraId="6C1503A1" w14:textId="2279C0CB" w:rsidR="001C35BF" w:rsidRPr="002E25EB" w:rsidRDefault="00F31D08" w:rsidP="00E35DA1">
      <w:pPr>
        <w:rPr>
          <w:rFonts w:eastAsiaTheme="minorEastAsia"/>
          <w:lang w:val="en-NZ"/>
        </w:rPr>
      </w:pPr>
      <w:r>
        <w:rPr>
          <w:rFonts w:eastAsiaTheme="minorEastAsia"/>
          <w:b/>
          <w:lang w:val="en-NZ"/>
        </w:rPr>
        <w:t>Partially Support</w:t>
      </w:r>
      <w:r w:rsidR="00CC7F49">
        <w:rPr>
          <w:rFonts w:eastAsiaTheme="minorEastAsia"/>
          <w:b/>
          <w:lang w:val="en-NZ"/>
        </w:rPr>
        <w:t>ed</w:t>
      </w:r>
    </w:p>
    <w:p w14:paraId="28E62E2F" w14:textId="3529404B" w:rsidR="001B2945" w:rsidRDefault="00BE147A" w:rsidP="00DC37D0">
      <w:pPr>
        <w:spacing w:after="240"/>
        <w:rPr>
          <w:rFonts w:eastAsiaTheme="minorEastAsia"/>
          <w:lang w:val="en-NZ"/>
        </w:rPr>
      </w:pPr>
      <w:r w:rsidRPr="00BF44AF">
        <w:rPr>
          <w:rFonts w:eastAsiaTheme="minorEastAsia"/>
          <w:lang w:val="en-NZ"/>
        </w:rPr>
        <w:t xml:space="preserve">The </w:t>
      </w:r>
      <w:r w:rsidR="002E33FB">
        <w:rPr>
          <w:rFonts w:eastAsiaTheme="minorEastAsia"/>
          <w:lang w:val="en-NZ"/>
        </w:rPr>
        <w:t xml:space="preserve">Australian </w:t>
      </w:r>
      <w:r w:rsidRPr="00BF44AF">
        <w:rPr>
          <w:rFonts w:eastAsiaTheme="minorEastAsia"/>
          <w:lang w:val="en-NZ"/>
        </w:rPr>
        <w:t xml:space="preserve">Government </w:t>
      </w:r>
      <w:r w:rsidR="00206C05">
        <w:rPr>
          <w:rFonts w:eastAsiaTheme="minorEastAsia"/>
          <w:lang w:val="en-NZ"/>
        </w:rPr>
        <w:t xml:space="preserve">supports this recommendation and </w:t>
      </w:r>
      <w:r w:rsidRPr="00BF44AF">
        <w:rPr>
          <w:rFonts w:eastAsiaTheme="minorEastAsia"/>
          <w:lang w:val="en-NZ"/>
        </w:rPr>
        <w:t>will work with state and territory governments to</w:t>
      </w:r>
      <w:r w:rsidR="008B029C">
        <w:rPr>
          <w:rFonts w:eastAsiaTheme="minorEastAsia"/>
          <w:lang w:val="en-NZ"/>
        </w:rPr>
        <w:t xml:space="preserve"> ensure </w:t>
      </w:r>
      <w:r w:rsidR="002D1A21">
        <w:rPr>
          <w:rFonts w:eastAsiaTheme="minorEastAsia"/>
          <w:lang w:val="en-NZ"/>
        </w:rPr>
        <w:t>the development of a </w:t>
      </w:r>
      <w:r w:rsidR="00F31D08">
        <w:rPr>
          <w:rFonts w:eastAsiaTheme="minorEastAsia"/>
          <w:lang w:val="en-NZ"/>
        </w:rPr>
        <w:t xml:space="preserve">National Autism </w:t>
      </w:r>
      <w:r w:rsidRPr="00BF44AF">
        <w:rPr>
          <w:rFonts w:eastAsiaTheme="minorEastAsia"/>
          <w:lang w:val="en-NZ"/>
        </w:rPr>
        <w:t>Strategy</w:t>
      </w:r>
      <w:r w:rsidR="008B029C">
        <w:rPr>
          <w:rFonts w:eastAsiaTheme="minorEastAsia"/>
          <w:lang w:val="en-NZ"/>
        </w:rPr>
        <w:t xml:space="preserve"> </w:t>
      </w:r>
      <w:r w:rsidR="00725059">
        <w:rPr>
          <w:rFonts w:eastAsiaTheme="minorEastAsia"/>
          <w:lang w:val="en-NZ"/>
        </w:rPr>
        <w:t>adopts a </w:t>
      </w:r>
      <w:r w:rsidR="00524E54">
        <w:rPr>
          <w:rFonts w:eastAsiaTheme="minorEastAsia"/>
          <w:lang w:val="en-NZ"/>
        </w:rPr>
        <w:t>co</w:t>
      </w:r>
      <w:r w:rsidR="00524E54">
        <w:rPr>
          <w:rFonts w:eastAsiaTheme="minorEastAsia"/>
          <w:lang w:val="en-NZ"/>
        </w:rPr>
        <w:noBreakHyphen/>
      </w:r>
      <w:r w:rsidR="00E439EC">
        <w:rPr>
          <w:rFonts w:eastAsiaTheme="minorEastAsia"/>
          <w:lang w:val="en-NZ"/>
        </w:rPr>
        <w:t xml:space="preserve">design approach and </w:t>
      </w:r>
      <w:r w:rsidR="008B029C">
        <w:rPr>
          <w:rFonts w:eastAsiaTheme="minorEastAsia"/>
          <w:lang w:val="en-NZ"/>
        </w:rPr>
        <w:t>is driven by, and in close consultation with,</w:t>
      </w:r>
      <w:r w:rsidR="00524E54">
        <w:rPr>
          <w:rFonts w:eastAsiaTheme="minorEastAsia"/>
          <w:lang w:val="en-NZ"/>
        </w:rPr>
        <w:t xml:space="preserve"> </w:t>
      </w:r>
      <w:r w:rsidR="00FC170C">
        <w:rPr>
          <w:rFonts w:eastAsiaTheme="minorEastAsia"/>
          <w:lang w:val="en-NZ"/>
        </w:rPr>
        <w:t xml:space="preserve">autistic </w:t>
      </w:r>
      <w:r w:rsidR="00FC170C">
        <w:t>people</w:t>
      </w:r>
      <w:r w:rsidR="00524E54">
        <w:t>, their </w:t>
      </w:r>
      <w:r w:rsidR="00E33191">
        <w:t xml:space="preserve">families and carers, advocates, peak bodies, </w:t>
      </w:r>
      <w:r w:rsidR="00A6237E">
        <w:t xml:space="preserve">researchers, and policy makers. </w:t>
      </w:r>
    </w:p>
    <w:p w14:paraId="5FCB64C9" w14:textId="27A5CAAA" w:rsidR="001C35BF" w:rsidRPr="00DC37D0" w:rsidRDefault="003C2564" w:rsidP="00DC37D0">
      <w:pPr>
        <w:spacing w:after="240"/>
        <w:rPr>
          <w:rFonts w:eastAsiaTheme="minorEastAsia"/>
          <w:lang w:val="en-NZ"/>
        </w:rPr>
      </w:pPr>
      <w:r>
        <w:rPr>
          <w:rFonts w:eastAsiaTheme="minorEastAsia"/>
          <w:lang w:val="en-NZ"/>
        </w:rPr>
        <w:t>T</w:t>
      </w:r>
      <w:r w:rsidR="00F31D08">
        <w:rPr>
          <w:rFonts w:eastAsiaTheme="minorEastAsia"/>
          <w:lang w:val="en-NZ"/>
        </w:rPr>
        <w:t xml:space="preserve">he </w:t>
      </w:r>
      <w:r w:rsidR="00624FDB" w:rsidRPr="00BF44AF">
        <w:rPr>
          <w:rFonts w:eastAsiaTheme="minorEastAsia"/>
          <w:lang w:val="en-NZ"/>
        </w:rPr>
        <w:t>app</w:t>
      </w:r>
      <w:r w:rsidR="00F31D08">
        <w:rPr>
          <w:rFonts w:eastAsiaTheme="minorEastAsia"/>
          <w:lang w:val="en-NZ"/>
        </w:rPr>
        <w:t>roach to its development and underpinning</w:t>
      </w:r>
      <w:r w:rsidR="00F17995">
        <w:rPr>
          <w:rFonts w:eastAsiaTheme="minorEastAsia"/>
          <w:lang w:val="en-NZ"/>
        </w:rPr>
        <w:t xml:space="preserve"> principles will be</w:t>
      </w:r>
      <w:r w:rsidR="00624FDB" w:rsidRPr="00BF44AF">
        <w:rPr>
          <w:rFonts w:eastAsiaTheme="minorEastAsia"/>
          <w:lang w:val="en-NZ"/>
        </w:rPr>
        <w:t xml:space="preserve"> agreed</w:t>
      </w:r>
      <w:r w:rsidR="00F17995">
        <w:rPr>
          <w:rFonts w:eastAsiaTheme="minorEastAsia"/>
          <w:lang w:val="en-NZ"/>
        </w:rPr>
        <w:t xml:space="preserve"> at the start of the</w:t>
      </w:r>
      <w:r w:rsidR="00624FDB" w:rsidRPr="00BF44AF">
        <w:rPr>
          <w:rFonts w:eastAsiaTheme="minorEastAsia"/>
          <w:lang w:val="en-NZ"/>
        </w:rPr>
        <w:t xml:space="preserve"> process</w:t>
      </w:r>
      <w:r>
        <w:rPr>
          <w:rFonts w:eastAsiaTheme="minorEastAsia"/>
          <w:lang w:val="en-NZ"/>
        </w:rPr>
        <w:t xml:space="preserve"> with all stakeholders</w:t>
      </w:r>
      <w:r w:rsidR="00DC37D0">
        <w:rPr>
          <w:rFonts w:eastAsiaTheme="minorEastAsia"/>
          <w:lang w:val="en-NZ"/>
        </w:rPr>
        <w:t>.</w:t>
      </w:r>
    </w:p>
    <w:p w14:paraId="3AD7FE63" w14:textId="67E94ACA" w:rsidR="00CC5F59" w:rsidRDefault="00A97739" w:rsidP="00DC37D0">
      <w:pPr>
        <w:spacing w:after="240"/>
      </w:pPr>
      <w:r w:rsidRPr="00A97739">
        <w:t xml:space="preserve">The Conran Review of </w:t>
      </w:r>
      <w:r w:rsidR="00BF494F">
        <w:t xml:space="preserve">the </w:t>
      </w:r>
      <w:r w:rsidRPr="00A97739">
        <w:t>C</w:t>
      </w:r>
      <w:r w:rsidR="00BF494F">
        <w:t>ouncil of Australian Governments</w:t>
      </w:r>
      <w:r w:rsidR="00EA75CF">
        <w:t xml:space="preserve"> (COAG)</w:t>
      </w:r>
      <w:r w:rsidR="00BF494F">
        <w:t>,</w:t>
      </w:r>
      <w:r w:rsidRPr="00A97739">
        <w:t xml:space="preserve"> Ministerial Forums and Councils (</w:t>
      </w:r>
      <w:r w:rsidR="00F17995">
        <w:t xml:space="preserve">the </w:t>
      </w:r>
      <w:r w:rsidRPr="00A97739">
        <w:t>Conran Review) aim</w:t>
      </w:r>
      <w:r w:rsidR="00CC5F59">
        <w:t xml:space="preserve">ed to </w:t>
      </w:r>
      <w:r w:rsidRPr="00A97739">
        <w:t>reduc</w:t>
      </w:r>
      <w:r w:rsidR="00CC5F59">
        <w:t xml:space="preserve">e </w:t>
      </w:r>
      <w:r w:rsidRPr="00A97739">
        <w:t>the number of ministers’ meetings</w:t>
      </w:r>
      <w:r w:rsidR="00CC5F59">
        <w:t xml:space="preserve">, </w:t>
      </w:r>
      <w:r w:rsidRPr="00A97739">
        <w:t>related forums and streamlining intergovernmental bodies. The</w:t>
      </w:r>
      <w:r w:rsidR="002E33FB">
        <w:t xml:space="preserve"> Australian</w:t>
      </w:r>
      <w:r w:rsidR="00BF494F">
        <w:t xml:space="preserve"> Government</w:t>
      </w:r>
      <w:r w:rsidRPr="00A97739">
        <w:t xml:space="preserve"> notes that where there are suitable existing f</w:t>
      </w:r>
      <w:r w:rsidR="00F17995">
        <w:t xml:space="preserve">orums, these should be used </w:t>
      </w:r>
      <w:r w:rsidRPr="00A97739">
        <w:t>in the first instance t</w:t>
      </w:r>
      <w:r w:rsidR="00725059">
        <w:t>o </w:t>
      </w:r>
      <w:r w:rsidR="00F17995">
        <w:t>progress any new priorities and</w:t>
      </w:r>
      <w:r w:rsidRPr="00A97739">
        <w:t xml:space="preserve"> ensure alignment with the Conran Review. </w:t>
      </w:r>
    </w:p>
    <w:p w14:paraId="343CAC35" w14:textId="3754F7A3" w:rsidR="001B2945" w:rsidRDefault="00CC5F59" w:rsidP="00DC37D0">
      <w:pPr>
        <w:spacing w:after="240"/>
      </w:pPr>
      <w:r>
        <w:t>D</w:t>
      </w:r>
      <w:r w:rsidR="00BF494F">
        <w:t>evelopment of a</w:t>
      </w:r>
      <w:r w:rsidR="00A97739" w:rsidRPr="00A97739">
        <w:t xml:space="preserve"> </w:t>
      </w:r>
      <w:r w:rsidR="00BF494F">
        <w:t xml:space="preserve">National </w:t>
      </w:r>
      <w:r w:rsidR="00A97739" w:rsidRPr="00A97739">
        <w:t>Autism Strategy should be driven within one of the suitable existing forums which include the Australian, state and territory governments</w:t>
      </w:r>
      <w:r w:rsidR="00E05DC7">
        <w:t>.</w:t>
      </w:r>
    </w:p>
    <w:p w14:paraId="41BABB7A" w14:textId="06E3171D" w:rsidR="00444DC3" w:rsidRDefault="00F17995" w:rsidP="00DC37D0">
      <w:pPr>
        <w:spacing w:after="240"/>
        <w:rPr>
          <w:rFonts w:eastAsiaTheme="minorEastAsia"/>
          <w:lang w:val="en-NZ"/>
        </w:rPr>
      </w:pPr>
      <w:r>
        <w:rPr>
          <w:rFonts w:eastAsiaTheme="minorEastAsia"/>
          <w:lang w:val="en-NZ"/>
        </w:rPr>
        <w:t>Where an </w:t>
      </w:r>
      <w:r w:rsidR="00A97739" w:rsidRPr="00A97739">
        <w:rPr>
          <w:rFonts w:eastAsiaTheme="minorEastAsia"/>
          <w:lang w:val="en-NZ"/>
        </w:rPr>
        <w:t xml:space="preserve">existing forum is used, oversight processes will already be in place that can oversee the work of the forum and the development of </w:t>
      </w:r>
      <w:r w:rsidR="00BF494F">
        <w:rPr>
          <w:rFonts w:eastAsiaTheme="minorEastAsia"/>
          <w:lang w:val="en-NZ"/>
        </w:rPr>
        <w:t>a</w:t>
      </w:r>
      <w:r w:rsidR="005A4456">
        <w:rPr>
          <w:rFonts w:eastAsiaTheme="minorEastAsia"/>
          <w:lang w:val="en-NZ"/>
        </w:rPr>
        <w:t xml:space="preserve"> s</w:t>
      </w:r>
      <w:r w:rsidR="00A97739" w:rsidRPr="00A97739">
        <w:rPr>
          <w:rFonts w:eastAsiaTheme="minorEastAsia"/>
          <w:lang w:val="en-NZ"/>
        </w:rPr>
        <w:t>trategy</w:t>
      </w:r>
      <w:r w:rsidR="00E439EC">
        <w:rPr>
          <w:rFonts w:eastAsiaTheme="minorEastAsia"/>
          <w:lang w:val="en-NZ"/>
        </w:rPr>
        <w:t xml:space="preserve"> wit</w:t>
      </w:r>
      <w:r w:rsidR="00524E54">
        <w:rPr>
          <w:rFonts w:eastAsiaTheme="minorEastAsia"/>
          <w:lang w:val="en-NZ"/>
        </w:rPr>
        <w:t xml:space="preserve">h a </w:t>
      </w:r>
      <w:r w:rsidR="00725059">
        <w:rPr>
          <w:rFonts w:eastAsiaTheme="minorEastAsia"/>
          <w:lang w:val="en-NZ"/>
        </w:rPr>
        <w:t>key priority to ensure a </w:t>
      </w:r>
      <w:r w:rsidR="00524E54">
        <w:rPr>
          <w:rFonts w:eastAsiaTheme="minorEastAsia"/>
          <w:lang w:val="en-NZ"/>
        </w:rPr>
        <w:t>co</w:t>
      </w:r>
      <w:r w:rsidR="00524E54">
        <w:rPr>
          <w:rFonts w:eastAsiaTheme="minorEastAsia"/>
          <w:lang w:val="en-NZ"/>
        </w:rPr>
        <w:noBreakHyphen/>
      </w:r>
      <w:r w:rsidR="00E439EC">
        <w:rPr>
          <w:rFonts w:eastAsiaTheme="minorEastAsia"/>
          <w:lang w:val="en-NZ"/>
        </w:rPr>
        <w:t>design approach is adhered to</w:t>
      </w:r>
      <w:r w:rsidR="00A97739" w:rsidRPr="00A97739">
        <w:rPr>
          <w:rFonts w:eastAsiaTheme="minorEastAsia"/>
          <w:lang w:val="en-NZ"/>
        </w:rPr>
        <w:t xml:space="preserve">. </w:t>
      </w:r>
    </w:p>
    <w:tbl>
      <w:tblPr>
        <w:tblStyle w:val="TableGrid"/>
        <w:tblW w:w="0" w:type="auto"/>
        <w:tblLook w:val="04A0" w:firstRow="1" w:lastRow="0" w:firstColumn="1" w:lastColumn="0" w:noHBand="0" w:noVBand="1"/>
        <w:tblDescription w:val="Decorative"/>
      </w:tblPr>
      <w:tblGrid>
        <w:gridCol w:w="9016"/>
      </w:tblGrid>
      <w:tr w:rsidR="004300EE" w14:paraId="38F91974" w14:textId="77777777" w:rsidTr="004300EE">
        <w:trPr>
          <w:trHeight w:val="1516"/>
        </w:trPr>
        <w:tc>
          <w:tcPr>
            <w:tcW w:w="9016" w:type="dxa"/>
          </w:tcPr>
          <w:p w14:paraId="4BDF00B0" w14:textId="77777777" w:rsidR="004300EE" w:rsidRPr="004300EE" w:rsidRDefault="004300EE" w:rsidP="004300EE">
            <w:pPr>
              <w:spacing w:before="1" w:line="276" w:lineRule="auto"/>
              <w:ind w:left="313" w:hanging="284"/>
              <w:jc w:val="both"/>
              <w:rPr>
                <w:b/>
              </w:rPr>
            </w:pPr>
            <w:r w:rsidRPr="004300EE">
              <w:rPr>
                <w:b/>
              </w:rPr>
              <w:t>Recommendation 3</w:t>
            </w:r>
          </w:p>
          <w:p w14:paraId="6FC378AB" w14:textId="445C9B45" w:rsidR="004300EE" w:rsidRDefault="004300EE" w:rsidP="006D1480">
            <w:r w:rsidRPr="00142C32">
              <w:t>The committee recommends that the National Autism Strategy and accompanying implementation plan include an outcomes framework, as well as specific and measurable actions, targets and milestones. Where appropriate, the framework and measurable items should align with tho</w:t>
            </w:r>
            <w:r>
              <w:t>se in other national strategies.</w:t>
            </w:r>
          </w:p>
        </w:tc>
      </w:tr>
    </w:tbl>
    <w:p w14:paraId="7CA7C33B" w14:textId="3E6751A4" w:rsidR="00BF494F" w:rsidRPr="002E25EB" w:rsidRDefault="00BF494F" w:rsidP="00E35DA1"/>
    <w:p w14:paraId="1A5DC1F7" w14:textId="7E0A38F2" w:rsidR="00676E24" w:rsidRPr="002E25EB" w:rsidRDefault="00577D40" w:rsidP="00676E24">
      <w:pPr>
        <w:rPr>
          <w:rFonts w:eastAsiaTheme="minorEastAsia"/>
          <w:lang w:val="en-NZ"/>
        </w:rPr>
      </w:pPr>
      <w:r>
        <w:rPr>
          <w:rFonts w:eastAsiaTheme="minorEastAsia"/>
          <w:b/>
          <w:lang w:val="en-NZ"/>
        </w:rPr>
        <w:t>Support</w:t>
      </w:r>
      <w:r w:rsidR="00CC7F49">
        <w:rPr>
          <w:rFonts w:eastAsiaTheme="minorEastAsia"/>
          <w:b/>
          <w:lang w:val="en-NZ"/>
        </w:rPr>
        <w:t>ed</w:t>
      </w:r>
    </w:p>
    <w:p w14:paraId="37AF265F" w14:textId="77777777" w:rsidR="00C95787" w:rsidRDefault="00676E24" w:rsidP="00C95787">
      <w:pPr>
        <w:rPr>
          <w:rFonts w:eastAsiaTheme="minorEastAsia"/>
          <w:lang w:val="en-NZ"/>
        </w:rPr>
      </w:pPr>
      <w:r>
        <w:rPr>
          <w:rFonts w:eastAsiaTheme="minorEastAsia"/>
          <w:lang w:val="en-NZ"/>
        </w:rPr>
        <w:t>The</w:t>
      </w:r>
      <w:r w:rsidR="002E33FB">
        <w:rPr>
          <w:rFonts w:eastAsiaTheme="minorEastAsia"/>
          <w:lang w:val="en-NZ"/>
        </w:rPr>
        <w:t xml:space="preserve"> Australian</w:t>
      </w:r>
      <w:r>
        <w:rPr>
          <w:rFonts w:eastAsiaTheme="minorEastAsia"/>
          <w:lang w:val="en-NZ"/>
        </w:rPr>
        <w:t xml:space="preserve"> Government</w:t>
      </w:r>
      <w:r w:rsidRPr="00676E24">
        <w:rPr>
          <w:rFonts w:eastAsiaTheme="minorEastAsia"/>
          <w:lang w:val="en-NZ"/>
        </w:rPr>
        <w:t xml:space="preserve"> supports the development of a National Autism Strategy</w:t>
      </w:r>
      <w:r>
        <w:rPr>
          <w:rFonts w:eastAsiaTheme="minorEastAsia"/>
          <w:lang w:val="en-NZ"/>
        </w:rPr>
        <w:t xml:space="preserve"> and accompanying implementation plan</w:t>
      </w:r>
      <w:r w:rsidR="00577D40">
        <w:rPr>
          <w:rFonts w:eastAsiaTheme="minorEastAsia"/>
          <w:lang w:val="en-NZ"/>
        </w:rPr>
        <w:t xml:space="preserve">. It is envisaged </w:t>
      </w:r>
      <w:r w:rsidR="00B9047B">
        <w:rPr>
          <w:rFonts w:eastAsiaTheme="minorEastAsia"/>
          <w:lang w:val="en-NZ"/>
        </w:rPr>
        <w:t>this will</w:t>
      </w:r>
      <w:r>
        <w:rPr>
          <w:rFonts w:eastAsiaTheme="minorEastAsia"/>
          <w:lang w:val="en-NZ"/>
        </w:rPr>
        <w:t xml:space="preserve"> </w:t>
      </w:r>
      <w:r w:rsidR="005E0C4F">
        <w:rPr>
          <w:rFonts w:eastAsiaTheme="minorEastAsia"/>
          <w:lang w:val="en-NZ"/>
        </w:rPr>
        <w:t>include</w:t>
      </w:r>
      <w:r>
        <w:rPr>
          <w:rFonts w:eastAsiaTheme="minorEastAsia"/>
          <w:lang w:val="en-NZ"/>
        </w:rPr>
        <w:t xml:space="preserve"> </w:t>
      </w:r>
      <w:r w:rsidR="005E0C4F">
        <w:rPr>
          <w:rFonts w:eastAsiaTheme="minorEastAsia"/>
          <w:lang w:val="en-NZ"/>
        </w:rPr>
        <w:t>an outcomes framework</w:t>
      </w:r>
      <w:r w:rsidR="00B9047B">
        <w:rPr>
          <w:rFonts w:eastAsiaTheme="minorEastAsia"/>
          <w:lang w:val="en-NZ"/>
        </w:rPr>
        <w:t xml:space="preserve"> </w:t>
      </w:r>
    </w:p>
    <w:p w14:paraId="7C2B12F0" w14:textId="5FCF9768" w:rsidR="006E0E64" w:rsidRPr="00577D40" w:rsidRDefault="00C95787" w:rsidP="00362441">
      <w:pPr>
        <w:rPr>
          <w:rFonts w:eastAsiaTheme="minorEastAsia"/>
          <w:lang w:val="en-NZ"/>
        </w:rPr>
      </w:pPr>
      <w:r>
        <w:rPr>
          <w:rFonts w:eastAsiaTheme="minorEastAsia"/>
          <w:lang w:val="en-NZ"/>
        </w:rPr>
        <w:t xml:space="preserve">with specific and measurable actions, </w:t>
      </w:r>
      <w:r w:rsidR="00B30363">
        <w:rPr>
          <w:rFonts w:eastAsiaTheme="minorEastAsia"/>
          <w:lang w:val="en-NZ"/>
        </w:rPr>
        <w:t xml:space="preserve">accountabilities, </w:t>
      </w:r>
      <w:r w:rsidR="00B9047B">
        <w:rPr>
          <w:rFonts w:eastAsiaTheme="minorEastAsia"/>
          <w:lang w:val="en-NZ"/>
        </w:rPr>
        <w:t>targets and milestones</w:t>
      </w:r>
      <w:r w:rsidR="005E0C4F">
        <w:rPr>
          <w:rFonts w:eastAsiaTheme="minorEastAsia"/>
          <w:lang w:val="en-NZ"/>
        </w:rPr>
        <w:t xml:space="preserve"> </w:t>
      </w:r>
      <w:r w:rsidR="00B9047B">
        <w:rPr>
          <w:rFonts w:eastAsiaTheme="minorEastAsia"/>
          <w:lang w:val="en-NZ"/>
        </w:rPr>
        <w:t xml:space="preserve">that will </w:t>
      </w:r>
      <w:r w:rsidR="00676E24">
        <w:rPr>
          <w:rFonts w:eastAsiaTheme="minorEastAsia"/>
          <w:lang w:val="en-NZ"/>
        </w:rPr>
        <w:t xml:space="preserve">align with </w:t>
      </w:r>
      <w:r w:rsidR="00B9047B">
        <w:rPr>
          <w:rFonts w:eastAsiaTheme="minorEastAsia"/>
          <w:lang w:val="en-NZ"/>
        </w:rPr>
        <w:t>other national strategies</w:t>
      </w:r>
      <w:r w:rsidR="00577D40">
        <w:rPr>
          <w:rFonts w:eastAsiaTheme="minorEastAsia"/>
          <w:lang w:val="en-NZ"/>
        </w:rPr>
        <w:t>,</w:t>
      </w:r>
      <w:r w:rsidR="00B9047B">
        <w:rPr>
          <w:rFonts w:eastAsiaTheme="minorEastAsia"/>
          <w:lang w:val="en-NZ"/>
        </w:rPr>
        <w:t xml:space="preserve"> including </w:t>
      </w:r>
      <w:r w:rsidR="00676E24">
        <w:rPr>
          <w:rFonts w:eastAsiaTheme="minorEastAsia"/>
          <w:lang w:val="en-NZ"/>
        </w:rPr>
        <w:t>Australia’s Disability Strategy</w:t>
      </w:r>
      <w:r w:rsidR="005E0C4F">
        <w:rPr>
          <w:rFonts w:eastAsiaTheme="minorEastAsia"/>
          <w:lang w:val="en-NZ"/>
        </w:rPr>
        <w:t xml:space="preserve"> outcomes framework</w:t>
      </w:r>
      <w:r w:rsidR="00676E24" w:rsidRPr="00676E24">
        <w:rPr>
          <w:rFonts w:eastAsiaTheme="minorEastAsia"/>
          <w:lang w:val="en-NZ"/>
        </w:rPr>
        <w:t xml:space="preserve">. </w:t>
      </w:r>
    </w:p>
    <w:p w14:paraId="50D08AD1" w14:textId="445C8E4A" w:rsidR="00EA75CF" w:rsidRPr="004300EE" w:rsidRDefault="00981587" w:rsidP="004300EE">
      <w:pPr>
        <w:spacing w:after="160" w:line="259" w:lineRule="auto"/>
        <w:rPr>
          <w:rFonts w:eastAsiaTheme="minorEastAsia"/>
          <w:lang w:val="en-NZ"/>
        </w:rPr>
      </w:pPr>
      <w:r>
        <w:rPr>
          <w:rFonts w:eastAsiaTheme="minorEastAsia"/>
          <w:lang w:val="en-NZ"/>
        </w:rPr>
        <w:br w:type="page"/>
      </w:r>
    </w:p>
    <w:tbl>
      <w:tblPr>
        <w:tblStyle w:val="TableGrid"/>
        <w:tblW w:w="0" w:type="auto"/>
        <w:tblLook w:val="04A0" w:firstRow="1" w:lastRow="0" w:firstColumn="1" w:lastColumn="0" w:noHBand="0" w:noVBand="1"/>
        <w:tblDescription w:val="Decorative"/>
      </w:tblPr>
      <w:tblGrid>
        <w:gridCol w:w="9016"/>
      </w:tblGrid>
      <w:tr w:rsidR="004300EE" w14:paraId="464D3B88" w14:textId="77777777" w:rsidTr="004300EE">
        <w:tc>
          <w:tcPr>
            <w:tcW w:w="9016" w:type="dxa"/>
          </w:tcPr>
          <w:p w14:paraId="1A323BEC" w14:textId="77777777" w:rsidR="004300EE" w:rsidRPr="004300EE" w:rsidRDefault="004300EE" w:rsidP="004300EE">
            <w:pPr>
              <w:spacing w:line="276" w:lineRule="auto"/>
              <w:jc w:val="both"/>
              <w:rPr>
                <w:b/>
              </w:rPr>
            </w:pPr>
            <w:r w:rsidRPr="004300EE">
              <w:rPr>
                <w:b/>
              </w:rPr>
              <w:lastRenderedPageBreak/>
              <w:t>Recommendation 4</w:t>
            </w:r>
          </w:p>
          <w:p w14:paraId="3B0B9483" w14:textId="1E000249" w:rsidR="004300EE" w:rsidRPr="005A51E2" w:rsidRDefault="004300EE" w:rsidP="004300EE">
            <w:r w:rsidRPr="00FA0C40">
              <w:t>The committee recommends that the taskforce monitor and report annually on the implementation of the National Autism Strategy.</w:t>
            </w:r>
          </w:p>
        </w:tc>
      </w:tr>
    </w:tbl>
    <w:p w14:paraId="211620B0" w14:textId="77777777" w:rsidR="004300EE" w:rsidRPr="002E25EB" w:rsidRDefault="004300EE" w:rsidP="00362441"/>
    <w:p w14:paraId="0CAFAF47" w14:textId="5410BC56" w:rsidR="00362441" w:rsidRDefault="00BF44AF" w:rsidP="00362441">
      <w:pPr>
        <w:rPr>
          <w:b/>
        </w:rPr>
      </w:pPr>
      <w:r>
        <w:rPr>
          <w:b/>
        </w:rPr>
        <w:t>Support</w:t>
      </w:r>
      <w:r w:rsidR="00CC7F49">
        <w:rPr>
          <w:b/>
        </w:rPr>
        <w:t>ed</w:t>
      </w:r>
      <w:r w:rsidR="00362441" w:rsidRPr="00C34C80">
        <w:rPr>
          <w:b/>
        </w:rPr>
        <w:t xml:space="preserve"> in principle</w:t>
      </w:r>
    </w:p>
    <w:p w14:paraId="44533C68" w14:textId="14A38179" w:rsidR="005066EC" w:rsidRDefault="00B9047B" w:rsidP="003018E9">
      <w:pPr>
        <w:spacing w:after="240"/>
        <w:rPr>
          <w:rFonts w:eastAsiaTheme="minorEastAsia"/>
          <w:lang w:val="en-NZ"/>
        </w:rPr>
      </w:pPr>
      <w:r>
        <w:rPr>
          <w:rFonts w:eastAsiaTheme="minorEastAsia"/>
          <w:lang w:val="en-NZ"/>
        </w:rPr>
        <w:t>Annual reporting</w:t>
      </w:r>
      <w:r w:rsidR="00EC377B" w:rsidRPr="00BF44AF">
        <w:rPr>
          <w:rFonts w:eastAsiaTheme="minorEastAsia"/>
          <w:lang w:val="en-NZ"/>
        </w:rPr>
        <w:t xml:space="preserve"> on the implementation of </w:t>
      </w:r>
      <w:r w:rsidR="00EA75CF">
        <w:rPr>
          <w:rFonts w:eastAsiaTheme="minorEastAsia"/>
          <w:lang w:val="en-NZ"/>
        </w:rPr>
        <w:t xml:space="preserve">a National </w:t>
      </w:r>
      <w:r w:rsidR="00EC377B" w:rsidRPr="00BF44AF">
        <w:rPr>
          <w:rFonts w:eastAsiaTheme="minorEastAsia"/>
          <w:lang w:val="en-NZ"/>
        </w:rPr>
        <w:t>Autism Strategy, through governance designed to support and oversee the implementation</w:t>
      </w:r>
      <w:r>
        <w:rPr>
          <w:rFonts w:eastAsiaTheme="minorEastAsia"/>
          <w:lang w:val="en-NZ"/>
        </w:rPr>
        <w:t xml:space="preserve"> </w:t>
      </w:r>
      <w:r w:rsidR="00AC2D19">
        <w:rPr>
          <w:rFonts w:eastAsiaTheme="minorEastAsia"/>
          <w:lang w:val="en-NZ"/>
        </w:rPr>
        <w:t xml:space="preserve">of the strategy </w:t>
      </w:r>
      <w:r>
        <w:rPr>
          <w:rFonts w:eastAsiaTheme="minorEastAsia"/>
          <w:lang w:val="en-NZ"/>
        </w:rPr>
        <w:t>will be developed</w:t>
      </w:r>
      <w:r w:rsidR="00EC377B" w:rsidRPr="00BF44AF">
        <w:rPr>
          <w:rFonts w:eastAsiaTheme="minorEastAsia"/>
          <w:lang w:val="en-NZ"/>
        </w:rPr>
        <w:t>.</w:t>
      </w:r>
      <w:r w:rsidR="00EC377B" w:rsidRPr="006F5736">
        <w:rPr>
          <w:rFonts w:eastAsiaTheme="minorEastAsia"/>
          <w:lang w:val="en-NZ"/>
        </w:rPr>
        <w:t xml:space="preserve"> </w:t>
      </w:r>
    </w:p>
    <w:p w14:paraId="131E7561" w14:textId="12BEFCBD" w:rsidR="0007670D" w:rsidRDefault="00AC2D19" w:rsidP="003018E9">
      <w:pPr>
        <w:spacing w:after="240"/>
        <w:rPr>
          <w:rFonts w:eastAsiaTheme="minorEastAsia"/>
          <w:lang w:val="en-NZ"/>
        </w:rPr>
      </w:pPr>
      <w:r>
        <w:rPr>
          <w:rFonts w:eastAsiaTheme="minorEastAsia"/>
          <w:lang w:val="en-NZ"/>
        </w:rPr>
        <w:t>As </w:t>
      </w:r>
      <w:r w:rsidR="00B9047B">
        <w:rPr>
          <w:rFonts w:eastAsiaTheme="minorEastAsia"/>
          <w:lang w:val="en-NZ"/>
        </w:rPr>
        <w:t>noted in</w:t>
      </w:r>
      <w:r w:rsidR="001C0C65">
        <w:rPr>
          <w:rFonts w:eastAsiaTheme="minorEastAsia"/>
          <w:lang w:val="en-NZ"/>
        </w:rPr>
        <w:t xml:space="preserve"> the response to</w:t>
      </w:r>
      <w:r w:rsidR="00B9047B">
        <w:rPr>
          <w:rFonts w:eastAsiaTheme="minorEastAsia"/>
          <w:lang w:val="en-NZ"/>
        </w:rPr>
        <w:t xml:space="preserve"> Recommendation 2</w:t>
      </w:r>
      <w:r>
        <w:rPr>
          <w:rFonts w:eastAsiaTheme="minorEastAsia"/>
          <w:lang w:val="en-NZ"/>
        </w:rPr>
        <w:t>, the </w:t>
      </w:r>
      <w:r w:rsidR="002E33FB">
        <w:rPr>
          <w:rFonts w:eastAsiaTheme="minorEastAsia"/>
          <w:lang w:val="en-NZ"/>
        </w:rPr>
        <w:t xml:space="preserve">Australian </w:t>
      </w:r>
      <w:r w:rsidR="00B9047B">
        <w:rPr>
          <w:rFonts w:eastAsiaTheme="minorEastAsia"/>
          <w:lang w:val="en-NZ"/>
        </w:rPr>
        <w:t xml:space="preserve">Government will consider the most appropriate </w:t>
      </w:r>
      <w:r>
        <w:rPr>
          <w:rFonts w:eastAsiaTheme="minorEastAsia"/>
          <w:lang w:val="en-NZ"/>
        </w:rPr>
        <w:t>forum</w:t>
      </w:r>
      <w:r w:rsidR="00B9047B">
        <w:rPr>
          <w:rFonts w:eastAsiaTheme="minorEastAsia"/>
          <w:lang w:val="en-NZ"/>
        </w:rPr>
        <w:t xml:space="preserve"> to oversee development</w:t>
      </w:r>
      <w:r>
        <w:rPr>
          <w:rFonts w:eastAsiaTheme="minorEastAsia"/>
          <w:lang w:val="en-NZ"/>
        </w:rPr>
        <w:t xml:space="preserve"> of the strategy.</w:t>
      </w:r>
    </w:p>
    <w:tbl>
      <w:tblPr>
        <w:tblStyle w:val="TableGrid"/>
        <w:tblW w:w="0" w:type="auto"/>
        <w:tblLook w:val="04A0" w:firstRow="1" w:lastRow="0" w:firstColumn="1" w:lastColumn="0" w:noHBand="0" w:noVBand="1"/>
        <w:tblDescription w:val="Decorative"/>
      </w:tblPr>
      <w:tblGrid>
        <w:gridCol w:w="9016"/>
      </w:tblGrid>
      <w:tr w:rsidR="0007670D" w14:paraId="0FFC494E" w14:textId="77777777" w:rsidTr="0007670D">
        <w:tc>
          <w:tcPr>
            <w:tcW w:w="9016" w:type="dxa"/>
          </w:tcPr>
          <w:p w14:paraId="5E4B4EA6" w14:textId="77777777" w:rsidR="0007670D" w:rsidRPr="0007670D" w:rsidRDefault="0007670D" w:rsidP="0007670D">
            <w:pPr>
              <w:spacing w:line="276" w:lineRule="auto"/>
              <w:jc w:val="both"/>
            </w:pPr>
            <w:r w:rsidRPr="0007670D">
              <w:rPr>
                <w:b/>
              </w:rPr>
              <w:t>Recommendation 5</w:t>
            </w:r>
          </w:p>
          <w:p w14:paraId="128B95BE" w14:textId="1E6406C0" w:rsidR="0007670D" w:rsidRPr="005A51E2" w:rsidRDefault="0007670D" w:rsidP="0007670D">
            <w:r w:rsidRPr="00FA0C40">
              <w:t>The committee recommends that an independent review of the National Autism Strategy be undertaken three years after implementation begins, with the findings to be publicly released and used to inform the next iteration of the strategy.</w:t>
            </w:r>
          </w:p>
        </w:tc>
      </w:tr>
    </w:tbl>
    <w:p w14:paraId="2640A481" w14:textId="25A9B90B" w:rsidR="000708CD" w:rsidRPr="002E25EB" w:rsidRDefault="000708CD" w:rsidP="000708CD"/>
    <w:p w14:paraId="4AE3F369" w14:textId="5A2903BA" w:rsidR="00362441" w:rsidRDefault="000511DE" w:rsidP="00362441">
      <w:pPr>
        <w:rPr>
          <w:b/>
        </w:rPr>
      </w:pPr>
      <w:r>
        <w:rPr>
          <w:b/>
        </w:rPr>
        <w:t>Support</w:t>
      </w:r>
      <w:r w:rsidR="00CC7F49">
        <w:rPr>
          <w:b/>
        </w:rPr>
        <w:t>ed</w:t>
      </w:r>
      <w:r>
        <w:rPr>
          <w:b/>
        </w:rPr>
        <w:t xml:space="preserve"> </w:t>
      </w:r>
      <w:r w:rsidR="00362441" w:rsidRPr="00C34C80">
        <w:rPr>
          <w:b/>
        </w:rPr>
        <w:t>in principle</w:t>
      </w:r>
    </w:p>
    <w:p w14:paraId="58C5D81D" w14:textId="297C0DAA" w:rsidR="006E0E64" w:rsidRPr="002E25EB" w:rsidRDefault="00AC2D19" w:rsidP="00C90E4B">
      <w:pPr>
        <w:spacing w:after="240"/>
      </w:pPr>
      <w:r>
        <w:t xml:space="preserve">The </w:t>
      </w:r>
      <w:r w:rsidR="002E33FB">
        <w:t xml:space="preserve">Australian </w:t>
      </w:r>
      <w:r>
        <w:t>Government supports this recommendation in principle. An independent review of the</w:t>
      </w:r>
      <w:r w:rsidR="007E27D8">
        <w:t xml:space="preserve"> National Autism Strategy will be considered </w:t>
      </w:r>
      <w:r w:rsidR="00B9047B">
        <w:t>as part of</w:t>
      </w:r>
      <w:r w:rsidR="007E27D8">
        <w:t xml:space="preserve"> the development </w:t>
      </w:r>
      <w:r>
        <w:t>of the s</w:t>
      </w:r>
      <w:r w:rsidR="007E27D8">
        <w:t>trategy.</w:t>
      </w:r>
      <w:r w:rsidR="00E60ACD">
        <w:t xml:space="preserve"> </w:t>
      </w:r>
    </w:p>
    <w:p w14:paraId="6B9A486D" w14:textId="002A8A4B" w:rsidR="00C90E4B" w:rsidRPr="00C90E4B" w:rsidRDefault="00327FAD" w:rsidP="00A12901">
      <w:pPr>
        <w:pStyle w:val="Heading2"/>
      </w:pPr>
      <w:r w:rsidRPr="0007670D">
        <w:t>The adequacy of available services and supports</w:t>
      </w:r>
    </w:p>
    <w:tbl>
      <w:tblPr>
        <w:tblStyle w:val="TableGrid"/>
        <w:tblW w:w="0" w:type="auto"/>
        <w:tblLook w:val="04A0" w:firstRow="1" w:lastRow="0" w:firstColumn="1" w:lastColumn="0" w:noHBand="0" w:noVBand="1"/>
        <w:tblDescription w:val="Decorative"/>
      </w:tblPr>
      <w:tblGrid>
        <w:gridCol w:w="9016"/>
      </w:tblGrid>
      <w:tr w:rsidR="0007670D" w14:paraId="6D23DB3F" w14:textId="77777777" w:rsidTr="0007670D">
        <w:tc>
          <w:tcPr>
            <w:tcW w:w="9016" w:type="dxa"/>
          </w:tcPr>
          <w:p w14:paraId="704F0CE0" w14:textId="77777777" w:rsidR="0007670D" w:rsidRPr="0007670D" w:rsidRDefault="0007670D" w:rsidP="0007670D">
            <w:pPr>
              <w:spacing w:line="276" w:lineRule="auto"/>
              <w:jc w:val="both"/>
              <w:rPr>
                <w:b/>
              </w:rPr>
            </w:pPr>
            <w:r w:rsidRPr="0007670D">
              <w:rPr>
                <w:b/>
              </w:rPr>
              <w:t>Recommendation 6</w:t>
            </w:r>
          </w:p>
          <w:p w14:paraId="23ADD8C0" w14:textId="77777777" w:rsidR="0007670D" w:rsidRPr="00FA0C40" w:rsidRDefault="0007670D" w:rsidP="005127ED">
            <w:pPr>
              <w:spacing w:line="276" w:lineRule="auto"/>
              <w:rPr>
                <w:rFonts w:eastAsia="Calibri"/>
              </w:rPr>
            </w:pPr>
            <w:r w:rsidRPr="0007670D">
              <w:t>The committee recommends</w:t>
            </w:r>
            <w:r w:rsidRPr="0007670D">
              <w:rPr>
                <w:rFonts w:eastAsia="Calibri"/>
              </w:rPr>
              <w:t xml:space="preserve"> the</w:t>
            </w:r>
            <w:r w:rsidRPr="00FA0C40">
              <w:rPr>
                <w:rFonts w:eastAsia="Calibri"/>
              </w:rPr>
              <w:t xml:space="preserve"> Joint Steering Committee on the National Disability Insurance S</w:t>
            </w:r>
            <w:r>
              <w:rPr>
                <w:rFonts w:eastAsia="Calibri"/>
              </w:rPr>
              <w:t xml:space="preserve">cheme (NDIS) undertake an </w:t>
            </w:r>
            <w:r w:rsidRPr="00FA0C40">
              <w:rPr>
                <w:rFonts w:eastAsia="Calibri"/>
              </w:rPr>
              <w:t>inquiry into the experiences of autistic participants in the NDIS with particular focus on:</w:t>
            </w:r>
          </w:p>
          <w:p w14:paraId="5F60FC77" w14:textId="77777777" w:rsidR="0007670D" w:rsidRPr="007661E9" w:rsidRDefault="0007670D" w:rsidP="005127ED">
            <w:pPr>
              <w:pStyle w:val="ListParagraph"/>
              <w:widowControl w:val="0"/>
              <w:numPr>
                <w:ilvl w:val="0"/>
                <w:numId w:val="1"/>
              </w:numPr>
              <w:tabs>
                <w:tab w:val="left" w:pos="1028"/>
              </w:tabs>
              <w:autoSpaceDE w:val="0"/>
              <w:autoSpaceDN w:val="0"/>
              <w:spacing w:before="3" w:after="0"/>
              <w:ind w:right="1235"/>
              <w:rPr>
                <w:rFonts w:ascii="Times New Roman" w:hAnsi="Times New Roman" w:cs="Times New Roman"/>
                <w:sz w:val="24"/>
                <w:szCs w:val="24"/>
              </w:rPr>
            </w:pPr>
            <w:r w:rsidRPr="007661E9">
              <w:rPr>
                <w:rFonts w:ascii="Times New Roman" w:hAnsi="Times New Roman" w:cs="Times New Roman"/>
                <w:sz w:val="24"/>
                <w:szCs w:val="24"/>
              </w:rPr>
              <w:t>The level of reasonable and necessary supports required by autistic participants across the course of their life;</w:t>
            </w:r>
          </w:p>
          <w:p w14:paraId="26C23C58" w14:textId="77777777" w:rsidR="0007670D" w:rsidRPr="007661E9" w:rsidRDefault="0007670D" w:rsidP="005127E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Whether the NDIS is currently funding these reasonable and necessary supports;</w:t>
            </w:r>
          </w:p>
          <w:p w14:paraId="0491D104" w14:textId="77777777" w:rsidR="0007670D" w:rsidRPr="007661E9" w:rsidRDefault="0007670D" w:rsidP="005127E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The implementation of the new Early Childhood Approach;</w:t>
            </w:r>
          </w:p>
          <w:p w14:paraId="690C4025" w14:textId="77777777" w:rsidR="0007670D" w:rsidRPr="007661E9" w:rsidRDefault="0007670D" w:rsidP="005127E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Whether adequate information and support is being provided to participants and prospective participants in a timely manner;</w:t>
            </w:r>
          </w:p>
          <w:p w14:paraId="1605C667" w14:textId="77777777" w:rsidR="0007670D" w:rsidRPr="007661E9" w:rsidRDefault="0007670D" w:rsidP="005127E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How autism diagnosis is recognised by the NDIS;</w:t>
            </w:r>
          </w:p>
          <w:p w14:paraId="769913AA" w14:textId="77777777" w:rsidR="0007670D" w:rsidRPr="007661E9" w:rsidRDefault="0007670D" w:rsidP="005127E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The ability and capacity of planners to make informed decisions regarding the reasonable and necessary supports to be funded by the NDIS;</w:t>
            </w:r>
          </w:p>
          <w:p w14:paraId="69944E13" w14:textId="77777777" w:rsidR="0007670D" w:rsidRPr="007661E9" w:rsidRDefault="0007670D" w:rsidP="005127E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The level of under-utilisation in NDIS plans for autistic participants;</w:t>
            </w:r>
          </w:p>
          <w:p w14:paraId="636B4729" w14:textId="77777777" w:rsidR="0007670D" w:rsidRDefault="0007670D" w:rsidP="005127E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Ensuring there is sufficient service capacity to deliver funded supports; and</w:t>
            </w:r>
          </w:p>
          <w:p w14:paraId="65B1B2C3" w14:textId="03AD0D10" w:rsidR="0007670D" w:rsidRPr="0007670D" w:rsidRDefault="0007670D" w:rsidP="005127E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How the NDIS interacts with other government funded support services – such as education, employment and health services – to provide coordinated and holistic care for autistic participants.</w:t>
            </w:r>
          </w:p>
        </w:tc>
      </w:tr>
    </w:tbl>
    <w:p w14:paraId="03F1166B" w14:textId="77777777" w:rsidR="005A51E2" w:rsidRDefault="005A51E2">
      <w:pPr>
        <w:spacing w:after="160" w:line="259" w:lineRule="auto"/>
        <w:rPr>
          <w:b/>
        </w:rPr>
      </w:pPr>
      <w:r>
        <w:rPr>
          <w:b/>
        </w:rPr>
        <w:br w:type="page"/>
      </w:r>
    </w:p>
    <w:p w14:paraId="4C32CECA" w14:textId="5A8037FF" w:rsidR="006C492B" w:rsidRPr="002E36ED" w:rsidRDefault="006C492B" w:rsidP="006C492B">
      <w:pPr>
        <w:rPr>
          <w:b/>
        </w:rPr>
      </w:pPr>
      <w:r w:rsidRPr="002E36ED">
        <w:rPr>
          <w:b/>
        </w:rPr>
        <w:lastRenderedPageBreak/>
        <w:t>Support</w:t>
      </w:r>
      <w:r w:rsidR="00CC7F49">
        <w:rPr>
          <w:b/>
        </w:rPr>
        <w:t>ed</w:t>
      </w:r>
      <w:r w:rsidR="00A0552E">
        <w:rPr>
          <w:b/>
        </w:rPr>
        <w:t xml:space="preserve"> in principle</w:t>
      </w:r>
    </w:p>
    <w:p w14:paraId="1B76ED55" w14:textId="1A9FBB84" w:rsidR="005066EC" w:rsidRDefault="00BE074C" w:rsidP="00C90E4B">
      <w:pPr>
        <w:spacing w:after="240"/>
      </w:pPr>
      <w:r w:rsidRPr="002E36ED">
        <w:t xml:space="preserve">The </w:t>
      </w:r>
      <w:r>
        <w:t xml:space="preserve">Australian </w:t>
      </w:r>
      <w:r w:rsidRPr="002E36ED">
        <w:t xml:space="preserve">Government </w:t>
      </w:r>
      <w:r w:rsidR="006C492B" w:rsidRPr="002E36ED">
        <w:t>supports</w:t>
      </w:r>
      <w:r w:rsidR="006E6E6C">
        <w:t xml:space="preserve"> this recommendation in principle and</w:t>
      </w:r>
      <w:r w:rsidR="00725059">
        <w:t xml:space="preserve"> the intention to </w:t>
      </w:r>
      <w:r w:rsidR="006C492B" w:rsidRPr="002E36ED">
        <w:t>initiate a Joint Standing Committee</w:t>
      </w:r>
      <w:r w:rsidR="00AC2D19">
        <w:t xml:space="preserve"> (JSC)</w:t>
      </w:r>
      <w:r w:rsidR="006C492B" w:rsidRPr="002E36ED">
        <w:t xml:space="preserve"> inquiry into the experiences of </w:t>
      </w:r>
      <w:r w:rsidR="00D13713">
        <w:t xml:space="preserve">autistic </w:t>
      </w:r>
      <w:r w:rsidR="006C492B" w:rsidRPr="002E36ED">
        <w:t>participants</w:t>
      </w:r>
      <w:r w:rsidR="00AC2D19">
        <w:t xml:space="preserve"> in the National Disability Insurance Scheme (NDIS). The </w:t>
      </w:r>
      <w:r w:rsidR="002E33FB">
        <w:t xml:space="preserve">Australian </w:t>
      </w:r>
      <w:r w:rsidR="00AC2D19">
        <w:t>Government is committed to delivering a better and fairer N</w:t>
      </w:r>
      <w:r w:rsidR="006C492B" w:rsidRPr="002E36ED">
        <w:t>DIS, and welcomes the opport</w:t>
      </w:r>
      <w:r w:rsidR="00AC2D19">
        <w:t>unity to work with the JSC</w:t>
      </w:r>
      <w:r w:rsidR="006C492B" w:rsidRPr="002E36ED">
        <w:t xml:space="preserve"> as the inquiry proceeds.</w:t>
      </w:r>
    </w:p>
    <w:p w14:paraId="1F7295F7" w14:textId="4849C53C" w:rsidR="00296341" w:rsidRPr="008F3F61" w:rsidRDefault="00296341" w:rsidP="00C90E4B">
      <w:pPr>
        <w:spacing w:after="240"/>
      </w:pPr>
      <w:r w:rsidRPr="008F3F61">
        <w:t>While the NDIS plays a significant role in supporting the independence and social and economic participation of eligible Australians with permanent an</w:t>
      </w:r>
      <w:r w:rsidR="00AC2D19">
        <w:t>d significant disability, it is </w:t>
      </w:r>
      <w:r w:rsidRPr="008F3F61">
        <w:t xml:space="preserve">not designed to duplicate or replace other government funded mainstream services and community supports. </w:t>
      </w:r>
      <w:r w:rsidR="00530794">
        <w:t xml:space="preserve">The NDIS </w:t>
      </w:r>
      <w:r w:rsidRPr="008F3F61">
        <w:t>should be complementary to, and work alongside, existing mainstream and co</w:t>
      </w:r>
      <w:r w:rsidR="00C90E4B">
        <w:t xml:space="preserve">mmunity services and supports. </w:t>
      </w:r>
    </w:p>
    <w:p w14:paraId="3424D48C" w14:textId="73E4784F" w:rsidR="001B2945" w:rsidRDefault="00C602DE" w:rsidP="00C90E4B">
      <w:pPr>
        <w:spacing w:after="240"/>
      </w:pPr>
      <w:r w:rsidRPr="008F3F61">
        <w:t>All levels of government continue to play a role in providing mainstream and targeted services, supports and infrastructure systems</w:t>
      </w:r>
      <w:r w:rsidR="00564BED">
        <w:t xml:space="preserve"> to people with disability. </w:t>
      </w:r>
    </w:p>
    <w:p w14:paraId="3FB89791" w14:textId="402086FC" w:rsidR="00C602DE" w:rsidRDefault="00564BED" w:rsidP="00C90E4B">
      <w:pPr>
        <w:spacing w:after="240"/>
      </w:pPr>
      <w:r>
        <w:t>The Australian </w:t>
      </w:r>
      <w:r w:rsidR="00C602DE" w:rsidRPr="008F3F61">
        <w:t xml:space="preserve">Government supports all levels of government working together to ensure supports for </w:t>
      </w:r>
      <w:r w:rsidR="00C602DE">
        <w:t>a</w:t>
      </w:r>
      <w:r w:rsidR="00C602DE" w:rsidRPr="008F3F61">
        <w:t xml:space="preserve">utistic Australians are coordinated and integrated to </w:t>
      </w:r>
      <w:r w:rsidR="00C90E4B">
        <w:t xml:space="preserve">the greatest extent possible. </w:t>
      </w:r>
    </w:p>
    <w:p w14:paraId="69C14591" w14:textId="1EB6880D" w:rsidR="001F4DB3" w:rsidRDefault="00296341" w:rsidP="00C90E4B">
      <w:pPr>
        <w:spacing w:after="240"/>
      </w:pPr>
      <w:r w:rsidRPr="008F3F61">
        <w:t>Any inquiry into the interaction of the NDIS with other government funded support services should take account of recent and ongoing consultation activiti</w:t>
      </w:r>
      <w:r w:rsidR="00AC2D19">
        <w:t xml:space="preserve">es in this </w:t>
      </w:r>
      <w:r w:rsidR="004250FE">
        <w:t xml:space="preserve">area </w:t>
      </w:r>
      <w:r w:rsidR="00AC2D19">
        <w:t xml:space="preserve">to ensure </w:t>
      </w:r>
      <w:r w:rsidRPr="008F3F61">
        <w:t>participants are not burdened with duplicative engagement processes.</w:t>
      </w:r>
    </w:p>
    <w:p w14:paraId="32C47734" w14:textId="02A6E8BB" w:rsidR="00441163" w:rsidRDefault="001F4DB3" w:rsidP="00C90E4B">
      <w:pPr>
        <w:spacing w:after="240"/>
      </w:pPr>
      <w:r>
        <w:t xml:space="preserve">The </w:t>
      </w:r>
      <w:r w:rsidRPr="0075519A">
        <w:rPr>
          <w:i/>
        </w:rPr>
        <w:t>National Disability Insurance Scheme Act 2013</w:t>
      </w:r>
      <w:r>
        <w:t xml:space="preserve"> sets out disability criteria and early intervention requirements for deciding the eligibility of applican</w:t>
      </w:r>
      <w:r w:rsidR="00725059">
        <w:t>ts to be supported by the NDIS</w:t>
      </w:r>
      <w:r>
        <w:t>. A person’s NDIS eligibility is not based on types of disability or the presence of an underlying condition, illness or injury. Rather, eligibility is based on evidence a person has substantially reduced functional capacity</w:t>
      </w:r>
      <w:r w:rsidRPr="00EC0E57">
        <w:t xml:space="preserve"> </w:t>
      </w:r>
      <w:r>
        <w:t xml:space="preserve">affecting their </w:t>
      </w:r>
      <w:r w:rsidR="00AD5C3D">
        <w:t>communication, social </w:t>
      </w:r>
      <w:r w:rsidRPr="00302591">
        <w:t>interaction, learning, mobility, self-care or self-management</w:t>
      </w:r>
      <w:r w:rsidR="00725059">
        <w:t xml:space="preserve"> because of their disability or </w:t>
      </w:r>
      <w:r>
        <w:t>would benefit from the provision of</w:t>
      </w:r>
      <w:r w:rsidR="00970173">
        <w:t xml:space="preserve"> early intervention supports. </w:t>
      </w:r>
    </w:p>
    <w:p w14:paraId="67B76FE3" w14:textId="4B697215" w:rsidR="00631208" w:rsidRDefault="00441163" w:rsidP="00C90E4B">
      <w:pPr>
        <w:spacing w:after="240"/>
      </w:pPr>
      <w:r>
        <w:t>The N</w:t>
      </w:r>
      <w:r w:rsidR="00AD5C3D">
        <w:t>ational Disability Insurance Agency (N</w:t>
      </w:r>
      <w:r>
        <w:t>DIA</w:t>
      </w:r>
      <w:r w:rsidR="00AD5C3D">
        <w:t>)</w:t>
      </w:r>
      <w:r>
        <w:t xml:space="preserve"> is also working </w:t>
      </w:r>
      <w:r w:rsidRPr="00C459F9">
        <w:t>with people with disability and the broader disability community to co-desig</w:t>
      </w:r>
      <w:r w:rsidR="00631208">
        <w:t>n a new person-centred model of </w:t>
      </w:r>
      <w:r w:rsidRPr="00C459F9">
        <w:t>gathering information for access and planning decisions</w:t>
      </w:r>
      <w:r>
        <w:t xml:space="preserve">, known as the </w:t>
      </w:r>
      <w:r w:rsidRPr="00C459F9">
        <w:t>Infor</w:t>
      </w:r>
      <w:r w:rsidR="00631208">
        <w:t>mation </w:t>
      </w:r>
      <w:r w:rsidRPr="00C459F9">
        <w:t>Gathering for Access and Planning (IGAP).</w:t>
      </w:r>
    </w:p>
    <w:p w14:paraId="00E2C40C" w14:textId="52250EE2" w:rsidR="00441163" w:rsidRPr="008F3F61" w:rsidRDefault="00441163" w:rsidP="00C90E4B">
      <w:pPr>
        <w:spacing w:after="240"/>
      </w:pPr>
      <w:r>
        <w:t>The IGAP Steering Committee continues to meet regularly to provide guidance for the project, including representatives from the NDIS Independent Advisory Council, Disability and Carer Representative Organisations, participants, Commonwealth agencies and states and territories. The Steering Committee has also engaged the disability community to understand people’s access and planning experiences, including through targeted focus groups and an online survey which is open to everyone.</w:t>
      </w:r>
    </w:p>
    <w:p w14:paraId="4B19F1C6" w14:textId="568F10DF" w:rsidR="00525203" w:rsidRPr="0007670D" w:rsidRDefault="00981587" w:rsidP="0007670D">
      <w:pPr>
        <w:spacing w:after="160" w:line="259" w:lineRule="auto"/>
        <w:rPr>
          <w:b/>
        </w:rPr>
      </w:pPr>
      <w:r>
        <w:rPr>
          <w:b/>
        </w:rPr>
        <w:br w:type="page"/>
      </w:r>
    </w:p>
    <w:tbl>
      <w:tblPr>
        <w:tblStyle w:val="TableGrid"/>
        <w:tblW w:w="0" w:type="auto"/>
        <w:tblLook w:val="04A0" w:firstRow="1" w:lastRow="0" w:firstColumn="1" w:lastColumn="0" w:noHBand="0" w:noVBand="1"/>
        <w:tblDescription w:val="Decorative"/>
      </w:tblPr>
      <w:tblGrid>
        <w:gridCol w:w="9016"/>
      </w:tblGrid>
      <w:tr w:rsidR="0007670D" w14:paraId="00E8E73F" w14:textId="77777777" w:rsidTr="0007670D">
        <w:tc>
          <w:tcPr>
            <w:tcW w:w="9016" w:type="dxa"/>
          </w:tcPr>
          <w:p w14:paraId="777A48BA" w14:textId="77777777" w:rsidR="0007670D" w:rsidRPr="0007670D" w:rsidRDefault="0007670D" w:rsidP="0007670D">
            <w:pPr>
              <w:spacing w:line="276" w:lineRule="auto"/>
              <w:jc w:val="both"/>
              <w:rPr>
                <w:b/>
              </w:rPr>
            </w:pPr>
            <w:r w:rsidRPr="0007670D">
              <w:rPr>
                <w:b/>
              </w:rPr>
              <w:lastRenderedPageBreak/>
              <w:t>Recommendation 7</w:t>
            </w:r>
          </w:p>
          <w:p w14:paraId="2DE33805" w14:textId="5502F6DC" w:rsidR="0007670D" w:rsidRPr="005A51E2" w:rsidRDefault="0007670D" w:rsidP="0007670D">
            <w:r w:rsidRPr="007661E9">
              <w:t>The committee recommends that the National Autism Strategy identify actions to drive better integration between federal and state service systems, including a roadmap to better integrate NDIS and mainstream services. This roadmap should be consistent with the recommendations made by the Joint Standing Committee on the NDIS in relation to service integration and overlap with other systems.</w:t>
            </w:r>
          </w:p>
        </w:tc>
      </w:tr>
    </w:tbl>
    <w:p w14:paraId="63E8A0A5" w14:textId="77777777" w:rsidR="0007670D" w:rsidRPr="002E25EB" w:rsidRDefault="0007670D" w:rsidP="00525203"/>
    <w:p w14:paraId="5D8DEC0E" w14:textId="1AB37DA9" w:rsidR="0088286F" w:rsidRPr="008F3F61" w:rsidRDefault="0088286F" w:rsidP="0088286F">
      <w:pPr>
        <w:rPr>
          <w:b/>
        </w:rPr>
      </w:pPr>
      <w:r w:rsidRPr="008F3F61">
        <w:rPr>
          <w:b/>
        </w:rPr>
        <w:t>Support</w:t>
      </w:r>
      <w:r w:rsidR="00CC7F49">
        <w:rPr>
          <w:b/>
        </w:rPr>
        <w:t>ed</w:t>
      </w:r>
      <w:r w:rsidRPr="008F3F61">
        <w:rPr>
          <w:b/>
        </w:rPr>
        <w:t xml:space="preserve"> </w:t>
      </w:r>
      <w:r w:rsidR="00CC7F49">
        <w:rPr>
          <w:b/>
        </w:rPr>
        <w:t>in p</w:t>
      </w:r>
      <w:r w:rsidR="006F19AC">
        <w:rPr>
          <w:b/>
        </w:rPr>
        <w:t>rinciple</w:t>
      </w:r>
    </w:p>
    <w:p w14:paraId="7633CC8E" w14:textId="34A0AE91" w:rsidR="005066EC" w:rsidRDefault="00921BC9" w:rsidP="00970173">
      <w:pPr>
        <w:spacing w:after="240"/>
      </w:pPr>
      <w:r w:rsidRPr="002E36ED">
        <w:t>In 2015, all governments agreed to</w:t>
      </w:r>
      <w:r w:rsidR="001F4DB3">
        <w:t xml:space="preserve"> the</w:t>
      </w:r>
      <w:r w:rsidRPr="002E36ED">
        <w:t xml:space="preserve"> ‘Principles to determine the responsibilities of the NDIS a</w:t>
      </w:r>
      <w:r>
        <w:t>nd other service systems’ (‘the </w:t>
      </w:r>
      <w:r w:rsidRPr="002E36ED">
        <w:t xml:space="preserve">Principles’). In </w:t>
      </w:r>
      <w:r>
        <w:t xml:space="preserve">addition to these </w:t>
      </w:r>
      <w:r w:rsidR="00C32792">
        <w:t xml:space="preserve">six </w:t>
      </w:r>
      <w:r w:rsidRPr="002E36ED">
        <w:t>general principles</w:t>
      </w:r>
      <w:r>
        <w:t>,</w:t>
      </w:r>
      <w:r w:rsidRPr="002E36ED">
        <w:t xml:space="preserve"> al</w:t>
      </w:r>
      <w:r>
        <w:t>l governments agreed to the Applied </w:t>
      </w:r>
      <w:r w:rsidRPr="002E36ED">
        <w:t>Principles and Tables of Support (APTOS) which are used</w:t>
      </w:r>
      <w:r w:rsidR="001F4DB3">
        <w:t xml:space="preserve"> as a guide</w:t>
      </w:r>
      <w:r w:rsidRPr="002E36ED">
        <w:t xml:space="preserve"> to determine the funding and delivery responsibilities of other se</w:t>
      </w:r>
      <w:r>
        <w:t xml:space="preserve">rvice systems and the NDIS. The APTOS also </w:t>
      </w:r>
      <w:r w:rsidRPr="002E36ED">
        <w:t>outline</w:t>
      </w:r>
      <w:r>
        <w:t>s</w:t>
      </w:r>
      <w:r w:rsidRPr="002E36ED">
        <w:t xml:space="preserve"> how these systems can work together to support the vision of an inclusive Australian society.</w:t>
      </w:r>
    </w:p>
    <w:p w14:paraId="511C37A1" w14:textId="3B9DEE9C" w:rsidR="002E36ED" w:rsidRPr="002E36ED" w:rsidRDefault="00921BC9" w:rsidP="00970173">
      <w:pPr>
        <w:spacing w:after="240"/>
      </w:pPr>
      <w:r w:rsidRPr="00725059">
        <w:t>The</w:t>
      </w:r>
      <w:r w:rsidR="00564BED" w:rsidRPr="00725059">
        <w:t xml:space="preserve"> Australian</w:t>
      </w:r>
      <w:r w:rsidRPr="00725059">
        <w:t xml:space="preserve"> Government </w:t>
      </w:r>
      <w:r w:rsidR="0088286F" w:rsidRPr="00725059">
        <w:t>continues to work with sta</w:t>
      </w:r>
      <w:r w:rsidR="00725059">
        <w:t>te and territory governments to </w:t>
      </w:r>
      <w:r w:rsidR="0088286F" w:rsidRPr="00725059">
        <w:t xml:space="preserve">integrate NDIS and mainstream services. Through the former Disability Reform Council and </w:t>
      </w:r>
      <w:r w:rsidR="00C32792" w:rsidRPr="00725059">
        <w:t xml:space="preserve">the </w:t>
      </w:r>
      <w:r w:rsidR="0088286F" w:rsidRPr="00725059">
        <w:t>current Disability Reform Ministers’ Meetings, significant pr</w:t>
      </w:r>
      <w:r w:rsidR="003956AD" w:rsidRPr="00725059">
        <w:t xml:space="preserve">ogress has been made </w:t>
      </w:r>
      <w:r w:rsidR="00725059">
        <w:t>to </w:t>
      </w:r>
      <w:r w:rsidR="0088286F" w:rsidRPr="00725059">
        <w:t xml:space="preserve">better integrate the NDIS with health, child protection, transport, justice, school and mental health mainstream systems. </w:t>
      </w:r>
    </w:p>
    <w:p w14:paraId="0485853D" w14:textId="2428D8E1" w:rsidR="002E36ED" w:rsidRPr="002E36ED" w:rsidRDefault="002E36ED" w:rsidP="00970173">
      <w:pPr>
        <w:spacing w:after="240"/>
      </w:pPr>
      <w:r w:rsidRPr="002E36ED">
        <w:t>The NDI</w:t>
      </w:r>
      <w:r w:rsidR="001F4DB3">
        <w:t>A</w:t>
      </w:r>
      <w:r w:rsidRPr="002E36ED">
        <w:t xml:space="preserve"> seeks to work in partnership with these service systems, and where possible will assist a participant to learn about other non-NDIS services that may be available in their local </w:t>
      </w:r>
      <w:r w:rsidRPr="007279D9">
        <w:t>communi</w:t>
      </w:r>
      <w:r w:rsidR="003956AD" w:rsidRPr="007279D9">
        <w:t>ty, including through the NDIA, Partners in the C</w:t>
      </w:r>
      <w:r w:rsidRPr="007279D9">
        <w:t>ommunity.</w:t>
      </w:r>
    </w:p>
    <w:p w14:paraId="1B392126" w14:textId="0CEFBFDE" w:rsidR="00921BC9" w:rsidRDefault="003956AD" w:rsidP="00970173">
      <w:pPr>
        <w:spacing w:after="240"/>
      </w:pPr>
      <w:r>
        <w:t xml:space="preserve">The NDIA also continues </w:t>
      </w:r>
      <w:r w:rsidR="002E36ED" w:rsidRPr="002E36ED">
        <w:t xml:space="preserve">to work with state and territory </w:t>
      </w:r>
      <w:r w:rsidR="001F4DB3">
        <w:t>representatives</w:t>
      </w:r>
      <w:r w:rsidR="002E36ED" w:rsidRPr="002E36ED">
        <w:t xml:space="preserve"> to improve information sharing to support </w:t>
      </w:r>
      <w:r>
        <w:t>the effective delivery of the NDIS and mainstream services. Initiatives include:</w:t>
      </w:r>
    </w:p>
    <w:p w14:paraId="4B780132" w14:textId="2861E447" w:rsidR="00921BC9" w:rsidRPr="00725059" w:rsidRDefault="00921BC9" w:rsidP="002E33FB">
      <w:pPr>
        <w:pStyle w:val="ListParagraph"/>
        <w:numPr>
          <w:ilvl w:val="0"/>
          <w:numId w:val="7"/>
        </w:numPr>
        <w:spacing w:after="0" w:line="240" w:lineRule="auto"/>
        <w:ind w:left="714" w:hanging="357"/>
        <w:rPr>
          <w:rFonts w:ascii="Times New Roman" w:hAnsi="Times New Roman" w:cs="Times New Roman"/>
          <w:sz w:val="24"/>
          <w:szCs w:val="24"/>
        </w:rPr>
      </w:pPr>
      <w:r w:rsidRPr="00725059">
        <w:rPr>
          <w:rFonts w:ascii="Times New Roman" w:hAnsi="Times New Roman" w:cs="Times New Roman"/>
          <w:sz w:val="24"/>
          <w:szCs w:val="24"/>
        </w:rPr>
        <w:t xml:space="preserve">The </w:t>
      </w:r>
      <w:r w:rsidR="002E36ED" w:rsidRPr="00725059">
        <w:rPr>
          <w:rFonts w:ascii="Times New Roman" w:hAnsi="Times New Roman" w:cs="Times New Roman"/>
          <w:sz w:val="24"/>
          <w:szCs w:val="24"/>
        </w:rPr>
        <w:t>N</w:t>
      </w:r>
      <w:r w:rsidRPr="00725059">
        <w:rPr>
          <w:rFonts w:ascii="Times New Roman" w:hAnsi="Times New Roman" w:cs="Times New Roman"/>
          <w:sz w:val="24"/>
          <w:szCs w:val="24"/>
        </w:rPr>
        <w:t xml:space="preserve">DIA Complex Support Needs </w:t>
      </w:r>
      <w:r w:rsidR="002E36ED" w:rsidRPr="00725059">
        <w:rPr>
          <w:rFonts w:ascii="Times New Roman" w:hAnsi="Times New Roman" w:cs="Times New Roman"/>
          <w:sz w:val="24"/>
          <w:szCs w:val="24"/>
        </w:rPr>
        <w:t xml:space="preserve">Pathway </w:t>
      </w:r>
      <w:r w:rsidR="003956AD" w:rsidRPr="00725059">
        <w:rPr>
          <w:rFonts w:ascii="Times New Roman" w:hAnsi="Times New Roman" w:cs="Times New Roman"/>
          <w:sz w:val="24"/>
          <w:szCs w:val="24"/>
        </w:rPr>
        <w:t>to support</w:t>
      </w:r>
      <w:r w:rsidR="002E36ED" w:rsidRPr="00725059">
        <w:rPr>
          <w:rFonts w:ascii="Times New Roman" w:hAnsi="Times New Roman" w:cs="Times New Roman"/>
          <w:sz w:val="24"/>
          <w:szCs w:val="24"/>
        </w:rPr>
        <w:t xml:space="preserve"> participants with complex support needs, i</w:t>
      </w:r>
      <w:r w:rsidRPr="00725059">
        <w:rPr>
          <w:rFonts w:ascii="Times New Roman" w:hAnsi="Times New Roman" w:cs="Times New Roman"/>
          <w:sz w:val="24"/>
          <w:szCs w:val="24"/>
        </w:rPr>
        <w:t xml:space="preserve">ncluding those </w:t>
      </w:r>
      <w:r w:rsidR="001F4DB3" w:rsidRPr="00725059">
        <w:rPr>
          <w:rFonts w:ascii="Times New Roman" w:hAnsi="Times New Roman" w:cs="Times New Roman"/>
          <w:sz w:val="24"/>
          <w:szCs w:val="24"/>
        </w:rPr>
        <w:t xml:space="preserve">that interact </w:t>
      </w:r>
      <w:r w:rsidR="002E36ED" w:rsidRPr="00725059">
        <w:rPr>
          <w:rFonts w:ascii="Times New Roman" w:hAnsi="Times New Roman" w:cs="Times New Roman"/>
          <w:sz w:val="24"/>
          <w:szCs w:val="24"/>
        </w:rPr>
        <w:t>with other se</w:t>
      </w:r>
      <w:r w:rsidR="002E33FB" w:rsidRPr="00725059">
        <w:rPr>
          <w:rFonts w:ascii="Times New Roman" w:hAnsi="Times New Roman" w:cs="Times New Roman"/>
          <w:sz w:val="24"/>
          <w:szCs w:val="24"/>
        </w:rPr>
        <w:t>rvice systems;</w:t>
      </w:r>
    </w:p>
    <w:p w14:paraId="3B4472E8" w14:textId="34F544B8" w:rsidR="00921BC9" w:rsidRPr="00725059" w:rsidRDefault="00921BC9" w:rsidP="002E33FB">
      <w:pPr>
        <w:pStyle w:val="ListParagraph"/>
        <w:numPr>
          <w:ilvl w:val="0"/>
          <w:numId w:val="7"/>
        </w:numPr>
        <w:spacing w:after="0" w:line="240" w:lineRule="auto"/>
        <w:ind w:left="714" w:hanging="357"/>
        <w:rPr>
          <w:rFonts w:ascii="Times New Roman" w:hAnsi="Times New Roman" w:cs="Times New Roman"/>
          <w:sz w:val="24"/>
          <w:szCs w:val="24"/>
        </w:rPr>
      </w:pPr>
      <w:r w:rsidRPr="00725059">
        <w:rPr>
          <w:rFonts w:ascii="Times New Roman" w:hAnsi="Times New Roman" w:cs="Times New Roman"/>
          <w:sz w:val="24"/>
          <w:szCs w:val="24"/>
        </w:rPr>
        <w:t xml:space="preserve">The NDIA’s </w:t>
      </w:r>
      <w:r w:rsidR="002E36ED" w:rsidRPr="00725059">
        <w:rPr>
          <w:rFonts w:ascii="Times New Roman" w:hAnsi="Times New Roman" w:cs="Times New Roman"/>
          <w:sz w:val="24"/>
          <w:szCs w:val="24"/>
        </w:rPr>
        <w:t>younger people in residential a</w:t>
      </w:r>
      <w:r w:rsidRPr="00725059">
        <w:rPr>
          <w:rFonts w:ascii="Times New Roman" w:hAnsi="Times New Roman" w:cs="Times New Roman"/>
          <w:sz w:val="24"/>
          <w:szCs w:val="24"/>
        </w:rPr>
        <w:t xml:space="preserve">ged care team </w:t>
      </w:r>
      <w:r w:rsidR="002E36ED" w:rsidRPr="00725059">
        <w:rPr>
          <w:rFonts w:ascii="Times New Roman" w:hAnsi="Times New Roman" w:cs="Times New Roman"/>
          <w:sz w:val="24"/>
          <w:szCs w:val="24"/>
        </w:rPr>
        <w:t xml:space="preserve">established to prevent younger NDIS participants from entering aged care and </w:t>
      </w:r>
      <w:r w:rsidRPr="00725059">
        <w:rPr>
          <w:rFonts w:ascii="Times New Roman" w:hAnsi="Times New Roman" w:cs="Times New Roman"/>
          <w:sz w:val="24"/>
          <w:szCs w:val="24"/>
        </w:rPr>
        <w:t>to support tho</w:t>
      </w:r>
      <w:r w:rsidR="002E33FB" w:rsidRPr="00725059">
        <w:rPr>
          <w:rFonts w:ascii="Times New Roman" w:hAnsi="Times New Roman" w:cs="Times New Roman"/>
          <w:sz w:val="24"/>
          <w:szCs w:val="24"/>
        </w:rPr>
        <w:t>se living in aged care to leave</w:t>
      </w:r>
      <w:r w:rsidR="00DE5A4A">
        <w:rPr>
          <w:rFonts w:ascii="Times New Roman" w:hAnsi="Times New Roman" w:cs="Times New Roman"/>
          <w:sz w:val="24"/>
          <w:szCs w:val="24"/>
        </w:rPr>
        <w:t>;</w:t>
      </w:r>
    </w:p>
    <w:p w14:paraId="023EC038" w14:textId="77777777" w:rsidR="001F4DB3" w:rsidRPr="00725059" w:rsidRDefault="003956AD" w:rsidP="002E33FB">
      <w:pPr>
        <w:pStyle w:val="ListParagraph"/>
        <w:numPr>
          <w:ilvl w:val="0"/>
          <w:numId w:val="7"/>
        </w:numPr>
        <w:spacing w:after="0" w:line="240" w:lineRule="auto"/>
        <w:ind w:left="714" w:hanging="357"/>
        <w:rPr>
          <w:rFonts w:ascii="Times New Roman" w:hAnsi="Times New Roman" w:cs="Times New Roman"/>
          <w:sz w:val="24"/>
          <w:szCs w:val="24"/>
        </w:rPr>
      </w:pPr>
      <w:r w:rsidRPr="00725059">
        <w:rPr>
          <w:rFonts w:ascii="Times New Roman" w:hAnsi="Times New Roman" w:cs="Times New Roman"/>
          <w:sz w:val="24"/>
          <w:szCs w:val="24"/>
        </w:rPr>
        <w:t xml:space="preserve">The introduction of Liaison Officers, as a </w:t>
      </w:r>
      <w:r w:rsidR="002E36ED" w:rsidRPr="00725059">
        <w:rPr>
          <w:rFonts w:ascii="Times New Roman" w:hAnsi="Times New Roman" w:cs="Times New Roman"/>
          <w:sz w:val="24"/>
          <w:szCs w:val="24"/>
        </w:rPr>
        <w:t>conduit between the NDIA and state and territory health and justice systems, supporting existing and prospective participants</w:t>
      </w:r>
      <w:r w:rsidR="001F4DB3" w:rsidRPr="00725059">
        <w:rPr>
          <w:rFonts w:ascii="Times New Roman" w:hAnsi="Times New Roman" w:cs="Times New Roman"/>
          <w:sz w:val="24"/>
          <w:szCs w:val="24"/>
        </w:rPr>
        <w:t xml:space="preserve">; and </w:t>
      </w:r>
    </w:p>
    <w:p w14:paraId="1B441180" w14:textId="4376E7DB" w:rsidR="00970173" w:rsidRPr="00970173" w:rsidRDefault="001F4DB3" w:rsidP="00970173">
      <w:pPr>
        <w:pStyle w:val="ListParagraph"/>
        <w:numPr>
          <w:ilvl w:val="0"/>
          <w:numId w:val="7"/>
        </w:numPr>
        <w:spacing w:after="24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Standing quarterly meetings with senior officials from each state and territory, attended by senior staff from the NDIA to discuss and resolve operational issues between the NDIS and state or territory programs and services</w:t>
      </w:r>
      <w:r w:rsidR="002E25EB">
        <w:rPr>
          <w:rFonts w:ascii="Times New Roman" w:hAnsi="Times New Roman" w:cs="Times New Roman"/>
          <w:sz w:val="24"/>
          <w:szCs w:val="24"/>
        </w:rPr>
        <w:t>.</w:t>
      </w:r>
    </w:p>
    <w:p w14:paraId="011B3664" w14:textId="0DD92B78" w:rsidR="00413815" w:rsidRDefault="00413815" w:rsidP="00970173">
      <w:pPr>
        <w:spacing w:after="240"/>
      </w:pPr>
      <w:r>
        <w:t>The National Health Reform Agreement (NHRA) 2020-25 includes shared commitments from Australian, state and territory governments regarding the interfaces between health and disability systems. This includes hospital and NDIS service integration. Priority activities include:</w:t>
      </w:r>
    </w:p>
    <w:p w14:paraId="42A5FBD6" w14:textId="4AEEAA4F" w:rsidR="00413815" w:rsidRPr="00413815" w:rsidRDefault="00413815" w:rsidP="00970173">
      <w:pPr>
        <w:pStyle w:val="ListParagraph"/>
        <w:numPr>
          <w:ilvl w:val="0"/>
          <w:numId w:val="7"/>
        </w:numPr>
        <w:spacing w:after="0" w:line="240" w:lineRule="auto"/>
        <w:ind w:left="714" w:hanging="357"/>
        <w:rPr>
          <w:rFonts w:ascii="Times New Roman" w:hAnsi="Times New Roman" w:cs="Times New Roman"/>
          <w:sz w:val="24"/>
          <w:szCs w:val="24"/>
        </w:rPr>
      </w:pPr>
      <w:r w:rsidRPr="00413815">
        <w:rPr>
          <w:rFonts w:ascii="Times New Roman" w:hAnsi="Times New Roman" w:cs="Times New Roman"/>
          <w:sz w:val="24"/>
          <w:szCs w:val="24"/>
        </w:rPr>
        <w:t>Developing national indicators and data sets to monitor performance, identify barriers and gaps, and inform solutions; and</w:t>
      </w:r>
    </w:p>
    <w:p w14:paraId="0E07DCA3" w14:textId="727E7127" w:rsidR="003812D2" w:rsidRDefault="00413815" w:rsidP="00D46CE4">
      <w:pPr>
        <w:pStyle w:val="ListParagraph"/>
        <w:numPr>
          <w:ilvl w:val="0"/>
          <w:numId w:val="7"/>
        </w:numPr>
        <w:spacing w:after="0" w:line="240" w:lineRule="auto"/>
        <w:ind w:left="714" w:hanging="357"/>
        <w:rPr>
          <w:rFonts w:ascii="Times New Roman" w:hAnsi="Times New Roman" w:cs="Times New Roman"/>
          <w:sz w:val="24"/>
          <w:szCs w:val="24"/>
        </w:rPr>
      </w:pPr>
      <w:r w:rsidRPr="00413815">
        <w:rPr>
          <w:rFonts w:ascii="Times New Roman" w:hAnsi="Times New Roman" w:cs="Times New Roman"/>
          <w:sz w:val="24"/>
          <w:szCs w:val="24"/>
        </w:rPr>
        <w:t xml:space="preserve">Clarifying governance arrangements for monitoring and resolving policy and operational issues between health and disability systems. </w:t>
      </w:r>
    </w:p>
    <w:p w14:paraId="14A43913" w14:textId="62D4ED53" w:rsidR="008E2DF6" w:rsidRPr="008E2DF6" w:rsidRDefault="008E2DF6" w:rsidP="008E2DF6">
      <w:pPr>
        <w:spacing w:after="160" w:line="259" w:lineRule="auto"/>
        <w:rPr>
          <w:rFonts w:eastAsiaTheme="minorHAnsi"/>
        </w:rPr>
      </w:pPr>
      <w:r>
        <w:br w:type="page"/>
      </w:r>
    </w:p>
    <w:p w14:paraId="2929E759" w14:textId="38058E3F" w:rsidR="00CB0CBC" w:rsidRPr="00970173" w:rsidRDefault="00356A69" w:rsidP="00970173">
      <w:pPr>
        <w:spacing w:after="240"/>
      </w:pPr>
      <w:r w:rsidRPr="0008748F">
        <w:lastRenderedPageBreak/>
        <w:t>A</w:t>
      </w:r>
      <w:r w:rsidR="003956AD">
        <w:t>dditionally, a</w:t>
      </w:r>
      <w:r w:rsidRPr="0008748F">
        <w:t xml:space="preserve"> key area of the A</w:t>
      </w:r>
      <w:r>
        <w:t xml:space="preserve">ustralia’s </w:t>
      </w:r>
      <w:r w:rsidRPr="0008748F">
        <w:t>D</w:t>
      </w:r>
      <w:r>
        <w:t xml:space="preserve">isability </w:t>
      </w:r>
      <w:r w:rsidRPr="0008748F">
        <w:t>S</w:t>
      </w:r>
      <w:r>
        <w:t>trategy,</w:t>
      </w:r>
      <w:r w:rsidRPr="0008748F">
        <w:t xml:space="preserve"> Safety T</w:t>
      </w:r>
      <w:r>
        <w:t>argeted Action Plan</w:t>
      </w:r>
      <w:r w:rsidR="006F19AC">
        <w:t>,</w:t>
      </w:r>
      <w:r w:rsidR="003956AD">
        <w:t xml:space="preserve"> is to </w:t>
      </w:r>
      <w:r w:rsidRPr="0008748F">
        <w:t xml:space="preserve">strengthen the interface between the NDIS and mainstream service systems with the aim to improve the design of government service systems and supports for people with disability at risk </w:t>
      </w:r>
      <w:r w:rsidR="003956AD">
        <w:t xml:space="preserve">of harm. </w:t>
      </w:r>
    </w:p>
    <w:p w14:paraId="408B68AC" w14:textId="5C125352" w:rsidR="00255DA0" w:rsidRPr="00692ABC" w:rsidRDefault="00CB0CBC" w:rsidP="00970173">
      <w:pPr>
        <w:spacing w:after="240"/>
      </w:pPr>
      <w:r w:rsidRPr="00F51859">
        <w:t>To date, this work has focussed on improving data collection and reporting to better identify issues and barriers, inform solutions and support health workers’ decision making.</w:t>
      </w:r>
    </w:p>
    <w:tbl>
      <w:tblPr>
        <w:tblStyle w:val="TableGrid"/>
        <w:tblW w:w="0" w:type="auto"/>
        <w:tblLook w:val="04A0" w:firstRow="1" w:lastRow="0" w:firstColumn="1" w:lastColumn="0" w:noHBand="0" w:noVBand="1"/>
        <w:tblDescription w:val="Decorative"/>
      </w:tblPr>
      <w:tblGrid>
        <w:gridCol w:w="9016"/>
      </w:tblGrid>
      <w:tr w:rsidR="0007670D" w14:paraId="63520353" w14:textId="77777777" w:rsidTr="0007670D">
        <w:tc>
          <w:tcPr>
            <w:tcW w:w="9016" w:type="dxa"/>
          </w:tcPr>
          <w:p w14:paraId="312EFB03" w14:textId="77777777" w:rsidR="0007670D" w:rsidRPr="0007670D" w:rsidRDefault="0007670D" w:rsidP="0007670D">
            <w:pPr>
              <w:spacing w:line="276" w:lineRule="auto"/>
              <w:jc w:val="both"/>
              <w:rPr>
                <w:b/>
              </w:rPr>
            </w:pPr>
            <w:r w:rsidRPr="0007670D">
              <w:rPr>
                <w:b/>
              </w:rPr>
              <w:t>Recommendation 8</w:t>
            </w:r>
          </w:p>
          <w:p w14:paraId="72606A9E" w14:textId="77777777" w:rsidR="0007670D" w:rsidRPr="007661E9" w:rsidRDefault="0007670D" w:rsidP="0007670D">
            <w:pPr>
              <w:widowControl w:val="0"/>
              <w:tabs>
                <w:tab w:val="left" w:pos="744"/>
              </w:tabs>
              <w:autoSpaceDE w:val="0"/>
              <w:autoSpaceDN w:val="0"/>
              <w:spacing w:before="60" w:line="276" w:lineRule="auto"/>
              <w:ind w:right="716"/>
            </w:pPr>
            <w:r w:rsidRPr="007661E9">
              <w:t xml:space="preserve">The committee recommends that the </w:t>
            </w:r>
            <w:r w:rsidRPr="007661E9">
              <w:rPr>
                <w:bCs/>
              </w:rPr>
              <w:t>National Disability Insurance Agency</w:t>
            </w:r>
            <w:r w:rsidRPr="007661E9">
              <w:t xml:space="preserve"> provide support coordination assistance as a default inclusion in plans for autistic NDIS participants who:</w:t>
            </w:r>
          </w:p>
          <w:p w14:paraId="77E72901" w14:textId="77777777" w:rsidR="0007670D" w:rsidRPr="007661E9" w:rsidRDefault="0007670D" w:rsidP="0007670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have complex or high care needs;</w:t>
            </w:r>
          </w:p>
          <w:p w14:paraId="7A1D0412" w14:textId="77777777" w:rsidR="0007670D" w:rsidRPr="007661E9" w:rsidRDefault="0007670D" w:rsidP="0007670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are from other identified disadvantaged and vulnerable cohorts; and</w:t>
            </w:r>
          </w:p>
          <w:p w14:paraId="4632185B" w14:textId="77777777" w:rsidR="0007670D" w:rsidRPr="007661E9" w:rsidRDefault="0007670D" w:rsidP="0007670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have significantly underutilised plans.</w:t>
            </w:r>
          </w:p>
          <w:p w14:paraId="1279BCF0" w14:textId="376B1409" w:rsidR="0007670D" w:rsidRPr="005A51E2" w:rsidRDefault="0007670D" w:rsidP="0007670D">
            <w:r w:rsidRPr="007661E9">
              <w:t>One</w:t>
            </w:r>
            <w:r w:rsidRPr="007661E9">
              <w:rPr>
                <w:spacing w:val="-18"/>
              </w:rPr>
              <w:t xml:space="preserve"> </w:t>
            </w:r>
            <w:r w:rsidRPr="007661E9">
              <w:t>year</w:t>
            </w:r>
            <w:r w:rsidRPr="007661E9">
              <w:rPr>
                <w:spacing w:val="-18"/>
              </w:rPr>
              <w:t xml:space="preserve"> </w:t>
            </w:r>
            <w:r w:rsidRPr="007661E9">
              <w:t>of</w:t>
            </w:r>
            <w:r w:rsidRPr="007661E9">
              <w:rPr>
                <w:spacing w:val="-17"/>
              </w:rPr>
              <w:t xml:space="preserve"> </w:t>
            </w:r>
            <w:r w:rsidRPr="007661E9">
              <w:t>support</w:t>
            </w:r>
            <w:r w:rsidRPr="007661E9">
              <w:rPr>
                <w:spacing w:val="-19"/>
              </w:rPr>
              <w:t xml:space="preserve"> </w:t>
            </w:r>
            <w:r w:rsidRPr="007661E9">
              <w:t>coordination</w:t>
            </w:r>
            <w:r w:rsidRPr="007661E9">
              <w:rPr>
                <w:spacing w:val="-17"/>
              </w:rPr>
              <w:t xml:space="preserve"> </w:t>
            </w:r>
            <w:r w:rsidRPr="007661E9">
              <w:t>assistance</w:t>
            </w:r>
            <w:r w:rsidRPr="007661E9">
              <w:rPr>
                <w:spacing w:val="-15"/>
              </w:rPr>
              <w:t xml:space="preserve"> </w:t>
            </w:r>
            <w:r w:rsidRPr="007661E9">
              <w:t>should</w:t>
            </w:r>
            <w:r w:rsidRPr="007661E9">
              <w:rPr>
                <w:spacing w:val="-17"/>
              </w:rPr>
              <w:t xml:space="preserve"> </w:t>
            </w:r>
            <w:r w:rsidRPr="007661E9">
              <w:t>also</w:t>
            </w:r>
            <w:r w:rsidRPr="007661E9">
              <w:rPr>
                <w:spacing w:val="-17"/>
              </w:rPr>
              <w:t xml:space="preserve"> </w:t>
            </w:r>
            <w:r w:rsidRPr="007661E9">
              <w:t>be</w:t>
            </w:r>
            <w:r w:rsidRPr="007661E9">
              <w:rPr>
                <w:spacing w:val="-17"/>
              </w:rPr>
              <w:t xml:space="preserve"> </w:t>
            </w:r>
            <w:r w:rsidRPr="007661E9">
              <w:t>a</w:t>
            </w:r>
            <w:r w:rsidRPr="007661E9">
              <w:rPr>
                <w:spacing w:val="-18"/>
              </w:rPr>
              <w:t xml:space="preserve"> </w:t>
            </w:r>
            <w:r w:rsidRPr="007661E9">
              <w:t>default</w:t>
            </w:r>
            <w:r w:rsidRPr="007661E9">
              <w:rPr>
                <w:spacing w:val="-16"/>
              </w:rPr>
              <w:t xml:space="preserve"> </w:t>
            </w:r>
            <w:r w:rsidRPr="007661E9">
              <w:t>inclusion in plans for all new NDIS</w:t>
            </w:r>
            <w:r w:rsidRPr="007661E9">
              <w:rPr>
                <w:spacing w:val="-6"/>
              </w:rPr>
              <w:t xml:space="preserve"> </w:t>
            </w:r>
            <w:r w:rsidRPr="007661E9">
              <w:t>participants.</w:t>
            </w:r>
          </w:p>
        </w:tc>
      </w:tr>
    </w:tbl>
    <w:p w14:paraId="5E77A87C" w14:textId="77777777" w:rsidR="0007670D" w:rsidRPr="00692ABC" w:rsidRDefault="0007670D" w:rsidP="00C34C80"/>
    <w:p w14:paraId="485E2783" w14:textId="43F2469A" w:rsidR="00C34C80" w:rsidRPr="00EC0A2E" w:rsidRDefault="00C34C80" w:rsidP="00C34C80">
      <w:pPr>
        <w:rPr>
          <w:b/>
        </w:rPr>
      </w:pPr>
      <w:r w:rsidRPr="00EC0A2E">
        <w:rPr>
          <w:b/>
        </w:rPr>
        <w:t>Not s</w:t>
      </w:r>
      <w:r w:rsidR="00255DA0" w:rsidRPr="00EC0A2E">
        <w:rPr>
          <w:b/>
        </w:rPr>
        <w:t>upported</w:t>
      </w:r>
    </w:p>
    <w:p w14:paraId="3E07888B" w14:textId="6046561B" w:rsidR="00255DA0" w:rsidRPr="00EC0A2E" w:rsidRDefault="006E6E6C" w:rsidP="00A71474">
      <w:pPr>
        <w:spacing w:after="240"/>
      </w:pPr>
      <w:r>
        <w:t xml:space="preserve">The </w:t>
      </w:r>
      <w:r w:rsidR="0048228E">
        <w:t>Australian Government does not support this</w:t>
      </w:r>
      <w:r>
        <w:t xml:space="preserve"> recommendation. </w:t>
      </w:r>
      <w:r w:rsidR="00255DA0" w:rsidRPr="00EC0A2E">
        <w:t>Funding for an NDIS participant's plan is based on the reas</w:t>
      </w:r>
      <w:r w:rsidR="003956AD">
        <w:t>onable and necessary supports a </w:t>
      </w:r>
      <w:r w:rsidR="00255DA0" w:rsidRPr="00EC0A2E">
        <w:t xml:space="preserve">participant requires. While support coordination plays an important role in helping NDIS participants to make the most of their plans and to pursue their goals, it can only be included in a participant’s plan if it meets the funding criteria in the </w:t>
      </w:r>
      <w:r w:rsidR="002A40CD">
        <w:rPr>
          <w:i/>
        </w:rPr>
        <w:t>National Disab</w:t>
      </w:r>
      <w:r w:rsidR="0048228E">
        <w:rPr>
          <w:i/>
        </w:rPr>
        <w:t xml:space="preserve">ility Insurance Scheme Act 2013 </w:t>
      </w:r>
      <w:r w:rsidR="0048228E">
        <w:t>and Rules.</w:t>
      </w:r>
    </w:p>
    <w:p w14:paraId="32A0E5B9" w14:textId="50D69E0E" w:rsidR="00255DA0" w:rsidRPr="00EC0A2E" w:rsidRDefault="00255DA0" w:rsidP="00A71474">
      <w:pPr>
        <w:spacing w:after="240"/>
      </w:pPr>
      <w:r w:rsidRPr="00EC0A2E">
        <w:t>The NDIS already provides support for participants to implement their plans through NDIA Early Childho</w:t>
      </w:r>
      <w:r w:rsidR="003956AD">
        <w:t>od P</w:t>
      </w:r>
      <w:r w:rsidRPr="00EC0A2E">
        <w:t>artners an</w:t>
      </w:r>
      <w:r w:rsidR="00162EE6">
        <w:t xml:space="preserve">d Local Area Coordination </w:t>
      </w:r>
      <w:r w:rsidRPr="00EC0A2E">
        <w:t xml:space="preserve">services. NDIA </w:t>
      </w:r>
      <w:r w:rsidR="003956AD">
        <w:t>p</w:t>
      </w:r>
      <w:r w:rsidRPr="00EC0A2E">
        <w:t>artners support participants to understand the NDIS, create and</w:t>
      </w:r>
      <w:r w:rsidR="003956AD">
        <w:t xml:space="preserve"> implement a plan, and assist participants </w:t>
      </w:r>
      <w:r w:rsidR="00114066">
        <w:t>to </w:t>
      </w:r>
      <w:r w:rsidRPr="00EC0A2E">
        <w:t>understand how the NDIS works with other service systems and what other supports might be av</w:t>
      </w:r>
      <w:r w:rsidR="00A71474">
        <w:t>ailable in the local community.</w:t>
      </w:r>
    </w:p>
    <w:p w14:paraId="6330CFF6" w14:textId="48CBB080" w:rsidR="00255DA0" w:rsidRPr="00692ABC" w:rsidRDefault="00255DA0" w:rsidP="00A71474">
      <w:pPr>
        <w:spacing w:after="240"/>
      </w:pPr>
      <w:r w:rsidRPr="00EC0A2E">
        <w:t>For those participants for whom support coordination is a reasonable and necessary support, the NDIA is working to improve participant understanding of the role of support coordinators, as part of the Participant Service Improvement Plan.</w:t>
      </w:r>
      <w:r w:rsidR="00C95787">
        <w:t xml:space="preserve">  </w:t>
      </w:r>
    </w:p>
    <w:p w14:paraId="3A007314" w14:textId="4499C361" w:rsidR="00255DA0" w:rsidRPr="00EC0A2E" w:rsidRDefault="00255DA0" w:rsidP="00A71474">
      <w:pPr>
        <w:spacing w:after="240"/>
      </w:pPr>
      <w:r w:rsidRPr="00EC0A2E">
        <w:rPr>
          <w:bCs/>
        </w:rPr>
        <w:t>As part of this commitment</w:t>
      </w:r>
      <w:r w:rsidR="00162EE6">
        <w:rPr>
          <w:bCs/>
        </w:rPr>
        <w:t>,</w:t>
      </w:r>
      <w:r w:rsidRPr="00EC0A2E">
        <w:rPr>
          <w:bCs/>
        </w:rPr>
        <w:t xml:space="preserve"> in 2021 the NDIA reviewed the current support coordination model and consulted with stakeholders on how support coord</w:t>
      </w:r>
      <w:r w:rsidR="00162EE6">
        <w:rPr>
          <w:bCs/>
        </w:rPr>
        <w:t>ination could be improved, with </w:t>
      </w:r>
      <w:r w:rsidR="00C95787">
        <w:rPr>
          <w:bCs/>
        </w:rPr>
        <w:t xml:space="preserve">the report ‘Improving Support Coordination for NDIS Participants’ published on the NDIS website in November 2021. The report is available at </w:t>
      </w:r>
      <w:hyperlink r:id="rId12" w:history="1">
        <w:r w:rsidR="00114066" w:rsidRPr="00114066">
          <w:rPr>
            <w:rStyle w:val="Hyperlink"/>
            <w:bCs/>
          </w:rPr>
          <w:t>Improving support coordination for participants</w:t>
        </w:r>
      </w:hyperlink>
      <w:r w:rsidR="00114066">
        <w:rPr>
          <w:bCs/>
        </w:rPr>
        <w:t xml:space="preserve">. </w:t>
      </w:r>
      <w:r w:rsidRPr="00EC0A2E">
        <w:rPr>
          <w:bCs/>
        </w:rPr>
        <w:t>T</w:t>
      </w:r>
      <w:r w:rsidRPr="00EC0A2E">
        <w:t>he NDIA has also released guidance on the r</w:t>
      </w:r>
      <w:r w:rsidR="00114066">
        <w:t>ole of a support coordinator on </w:t>
      </w:r>
      <w:r w:rsidR="00A71474">
        <w:t xml:space="preserve">the NDIS website. </w:t>
      </w:r>
    </w:p>
    <w:p w14:paraId="7F460DA4" w14:textId="32DD6584" w:rsidR="00982D6D" w:rsidRPr="005C4528" w:rsidRDefault="00255DA0" w:rsidP="00A71474">
      <w:pPr>
        <w:spacing w:after="240"/>
      </w:pPr>
      <w:r w:rsidRPr="00EC0A2E">
        <w:t>The NDIA will continue to work with the sector to educate support coordinators on their roles, and deliver consistency and equity in planning outcomes (including support coordination).</w:t>
      </w:r>
    </w:p>
    <w:p w14:paraId="296956A8" w14:textId="3533FC25" w:rsidR="00162EE6" w:rsidRDefault="005A51E2" w:rsidP="005A51E2">
      <w:pPr>
        <w:spacing w:after="160" w:line="259" w:lineRule="auto"/>
        <w:rPr>
          <w:b/>
        </w:rPr>
      </w:pPr>
      <w:r>
        <w:rPr>
          <w:b/>
        </w:rPr>
        <w:br w:type="page"/>
      </w:r>
    </w:p>
    <w:tbl>
      <w:tblPr>
        <w:tblStyle w:val="TableGrid"/>
        <w:tblW w:w="0" w:type="auto"/>
        <w:tblLook w:val="04A0" w:firstRow="1" w:lastRow="0" w:firstColumn="1" w:lastColumn="0" w:noHBand="0" w:noVBand="1"/>
        <w:tblDescription w:val="Decorative"/>
      </w:tblPr>
      <w:tblGrid>
        <w:gridCol w:w="9016"/>
      </w:tblGrid>
      <w:tr w:rsidR="00901372" w14:paraId="76D9DEB3" w14:textId="77777777" w:rsidTr="00901372">
        <w:tc>
          <w:tcPr>
            <w:tcW w:w="9016" w:type="dxa"/>
          </w:tcPr>
          <w:p w14:paraId="2B25FBB9" w14:textId="77777777" w:rsidR="00901372" w:rsidRPr="00901372" w:rsidRDefault="00901372" w:rsidP="00901372">
            <w:pPr>
              <w:spacing w:line="276" w:lineRule="auto"/>
              <w:jc w:val="both"/>
              <w:rPr>
                <w:b/>
              </w:rPr>
            </w:pPr>
            <w:r w:rsidRPr="00901372">
              <w:rPr>
                <w:b/>
              </w:rPr>
              <w:lastRenderedPageBreak/>
              <w:t>Recommendation 9</w:t>
            </w:r>
          </w:p>
          <w:p w14:paraId="6B8560A7" w14:textId="5A6ADB7A" w:rsidR="00901372" w:rsidRPr="005A51E2" w:rsidRDefault="00901372" w:rsidP="00901372">
            <w:r w:rsidRPr="007661E9">
              <w:t>The committee recommends that the National Disability Insurance Agency continue to improve the capacity of its staff, including Local Area Coordinators, to provide better support to autistic people. This should include a focus on both understanding and meeting autistic participants' support coordination needs.</w:t>
            </w:r>
          </w:p>
        </w:tc>
      </w:tr>
    </w:tbl>
    <w:p w14:paraId="6B94502A" w14:textId="77777777" w:rsidR="00901372" w:rsidRPr="00692ABC" w:rsidRDefault="00901372" w:rsidP="00EF3EC9"/>
    <w:p w14:paraId="09390981" w14:textId="6C43C72F" w:rsidR="00915EDB" w:rsidRDefault="006F19AC" w:rsidP="00C34C80">
      <w:pPr>
        <w:rPr>
          <w:b/>
        </w:rPr>
      </w:pPr>
      <w:r>
        <w:rPr>
          <w:b/>
        </w:rPr>
        <w:t>Supported</w:t>
      </w:r>
    </w:p>
    <w:p w14:paraId="124209E7" w14:textId="4972C25D" w:rsidR="00162EE6" w:rsidRDefault="00C95787" w:rsidP="00A71474">
      <w:pPr>
        <w:spacing w:after="240"/>
      </w:pPr>
      <w:r>
        <w:t>The NDIA is committed to building the capability of the</w:t>
      </w:r>
      <w:r w:rsidR="00420E8B">
        <w:t xml:space="preserve"> Agency workforce to deliver on </w:t>
      </w:r>
      <w:r>
        <w:t xml:space="preserve">strategic and operational goals now and into the future. </w:t>
      </w:r>
      <w:r w:rsidR="00915EDB" w:rsidRPr="00915EDB">
        <w:t>The</w:t>
      </w:r>
      <w:r w:rsidR="00420E8B">
        <w:t xml:space="preserve"> NDIA has developed training to </w:t>
      </w:r>
      <w:r w:rsidR="00915EDB" w:rsidRPr="00915EDB">
        <w:t>provide planners, Early Childhood Partners a</w:t>
      </w:r>
      <w:r w:rsidR="00162EE6">
        <w:t>nd Local Area Coordinators</w:t>
      </w:r>
      <w:r w:rsidR="00915EDB" w:rsidRPr="00915EDB">
        <w:t xml:space="preserve"> with the confidence and skills to ensure participants are</w:t>
      </w:r>
      <w:r w:rsidR="00162EE6">
        <w:t xml:space="preserve"> supported to access the NDIS </w:t>
      </w:r>
      <w:r w:rsidR="00915EDB" w:rsidRPr="00915EDB">
        <w:t xml:space="preserve">and implement their plans. The </w:t>
      </w:r>
      <w:r w:rsidR="00883108">
        <w:t>NDIA</w:t>
      </w:r>
      <w:r w:rsidR="00915EDB" w:rsidRPr="00915EDB">
        <w:t xml:space="preserve"> is also delivering training programs to help frontli</w:t>
      </w:r>
      <w:r w:rsidR="00420E8B">
        <w:t>ne staff with participant check</w:t>
      </w:r>
      <w:r w:rsidR="00420E8B">
        <w:noBreakHyphen/>
      </w:r>
      <w:r w:rsidR="00915EDB" w:rsidRPr="00915EDB">
        <w:t xml:space="preserve">ins and to have more effective and meaningful conversations with participants. </w:t>
      </w:r>
    </w:p>
    <w:p w14:paraId="52150C4B" w14:textId="453EFA06" w:rsidR="005C44C6" w:rsidRPr="00915EDB" w:rsidRDefault="00915EDB" w:rsidP="00A71474">
      <w:pPr>
        <w:spacing w:after="240"/>
      </w:pPr>
      <w:r w:rsidRPr="00915EDB">
        <w:t>Additional work is being undertaken to ensure staff have the right capabilities through the continuous design and delivery of mandatory eLearning training and ind</w:t>
      </w:r>
      <w:r w:rsidR="00162EE6">
        <w:t>uction programs. The </w:t>
      </w:r>
      <w:r w:rsidRPr="00915EDB">
        <w:t>NDIA actively recruits staff with lived experience of disability, including those wi</w:t>
      </w:r>
      <w:r w:rsidR="00A71474">
        <w:t xml:space="preserve">th lived experience of autism. </w:t>
      </w:r>
    </w:p>
    <w:p w14:paraId="0E677063" w14:textId="49D36DC4" w:rsidR="00420E8B" w:rsidRDefault="00915EDB" w:rsidP="00A71474">
      <w:pPr>
        <w:spacing w:after="240"/>
      </w:pPr>
      <w:r w:rsidRPr="00915EDB">
        <w:t>The NDIA has also developed a Disability Navigator and disability snapshots to help NDIA staff and partners improve their awareness and understan</w:t>
      </w:r>
      <w:r w:rsidR="00420E8B">
        <w:t>ding of the lived experience of </w:t>
      </w:r>
      <w:r w:rsidRPr="00915EDB">
        <w:t xml:space="preserve">people with disabilities. These resources include interviews with people with disability talking about their lived experience, and provide advice about how planners and partners can best communicate with and support people with disability throughout the planning process. </w:t>
      </w:r>
    </w:p>
    <w:p w14:paraId="21B31605" w14:textId="2EA80D10" w:rsidR="005A51E2" w:rsidRDefault="00915EDB" w:rsidP="00A71474">
      <w:pPr>
        <w:spacing w:after="240"/>
        <w:rPr>
          <w:lang w:eastAsia="en-AU"/>
        </w:rPr>
      </w:pPr>
      <w:r w:rsidRPr="00915EDB">
        <w:t xml:space="preserve">The Disability Navigator includes a disability snapshot on </w:t>
      </w:r>
      <w:r w:rsidR="002B6FB5">
        <w:t>a</w:t>
      </w:r>
      <w:r w:rsidRPr="00915EDB">
        <w:t>utism, featuring</w:t>
      </w:r>
      <w:r w:rsidR="00CC7F49">
        <w:t xml:space="preserve"> autistic people </w:t>
      </w:r>
      <w:r w:rsidRPr="00915EDB">
        <w:t>providing advice about their strengths, preferred communication methods, and lived experience.</w:t>
      </w:r>
      <w:r w:rsidRPr="00915EDB">
        <w:rPr>
          <w:lang w:eastAsia="en-AU"/>
        </w:rPr>
        <w:t xml:space="preserve"> </w:t>
      </w:r>
    </w:p>
    <w:tbl>
      <w:tblPr>
        <w:tblStyle w:val="TableGrid"/>
        <w:tblW w:w="0" w:type="auto"/>
        <w:tblLook w:val="04A0" w:firstRow="1" w:lastRow="0" w:firstColumn="1" w:lastColumn="0" w:noHBand="0" w:noVBand="1"/>
        <w:tblDescription w:val="Decorative"/>
      </w:tblPr>
      <w:tblGrid>
        <w:gridCol w:w="9016"/>
      </w:tblGrid>
      <w:tr w:rsidR="005A51E2" w14:paraId="20A92011" w14:textId="77777777" w:rsidTr="005A51E2">
        <w:tc>
          <w:tcPr>
            <w:tcW w:w="9016" w:type="dxa"/>
          </w:tcPr>
          <w:p w14:paraId="73B4BE94" w14:textId="77777777" w:rsidR="005A51E2" w:rsidRPr="005A51E2" w:rsidRDefault="005A51E2" w:rsidP="005A51E2">
            <w:pPr>
              <w:spacing w:line="276" w:lineRule="auto"/>
              <w:jc w:val="both"/>
              <w:rPr>
                <w:b/>
              </w:rPr>
            </w:pPr>
            <w:r w:rsidRPr="005A51E2">
              <w:rPr>
                <w:b/>
              </w:rPr>
              <w:t>Recommendation 10</w:t>
            </w:r>
          </w:p>
          <w:p w14:paraId="69313AC9" w14:textId="7800214F" w:rsidR="005A51E2" w:rsidRDefault="005A51E2" w:rsidP="005A51E2">
            <w:pPr>
              <w:spacing w:after="160" w:line="259" w:lineRule="auto"/>
              <w:rPr>
                <w:lang w:eastAsia="en-AU"/>
              </w:rPr>
            </w:pPr>
            <w:r w:rsidRPr="007661E9">
              <w:t>The committee recommends that a National Autism Strategy identify actions to increase community understanding of autism. This should include consideration of a public education campaign that portrays the diversity of the spectrum and helps improve inclusion across a range of settings, including schools, workplaces an</w:t>
            </w:r>
            <w:r>
              <w:t>d in the general community. All </w:t>
            </w:r>
            <w:r w:rsidRPr="007661E9">
              <w:t>materials should be tailored and accessible to First Nations and Culturally and Linguistically Diverse audiences.</w:t>
            </w:r>
          </w:p>
        </w:tc>
      </w:tr>
    </w:tbl>
    <w:p w14:paraId="67D9D4E2" w14:textId="2BFB455F" w:rsidR="0054604E" w:rsidRPr="00CB3B5C" w:rsidRDefault="0054604E" w:rsidP="0054604E"/>
    <w:p w14:paraId="7C98E685" w14:textId="0D49BC65" w:rsidR="0054604E" w:rsidRPr="00C156CC" w:rsidRDefault="0054604E" w:rsidP="0054604E">
      <w:r>
        <w:rPr>
          <w:b/>
        </w:rPr>
        <w:t>Support</w:t>
      </w:r>
      <w:r w:rsidR="00CC7F49">
        <w:rPr>
          <w:b/>
        </w:rPr>
        <w:t>ed</w:t>
      </w:r>
      <w:r>
        <w:rPr>
          <w:b/>
        </w:rPr>
        <w:t xml:space="preserve"> </w:t>
      </w:r>
      <w:r w:rsidRPr="00C34C80">
        <w:rPr>
          <w:b/>
        </w:rPr>
        <w:t>in principle</w:t>
      </w:r>
      <w:r w:rsidR="00C156CC">
        <w:rPr>
          <w:b/>
        </w:rPr>
        <w:t xml:space="preserve"> </w:t>
      </w:r>
    </w:p>
    <w:p w14:paraId="65ACE9CE" w14:textId="48000167" w:rsidR="005066EC" w:rsidRDefault="0054604E" w:rsidP="005066EC">
      <w:r>
        <w:t>Actions to increase community understanding of autism will be considered in the development of a National Autism Strategy</w:t>
      </w:r>
      <w:r w:rsidR="00E00607" w:rsidRPr="00E00607">
        <w:rPr>
          <w:rFonts w:eastAsiaTheme="minorEastAsia"/>
          <w:lang w:val="en-NZ"/>
        </w:rPr>
        <w:t xml:space="preserve"> </w:t>
      </w:r>
      <w:r w:rsidR="00E00607" w:rsidRPr="00BF44AF">
        <w:rPr>
          <w:rFonts w:eastAsiaTheme="minorEastAsia"/>
          <w:lang w:val="en-NZ"/>
        </w:rPr>
        <w:t xml:space="preserve">alongside action being taken under </w:t>
      </w:r>
      <w:r w:rsidR="00E00607">
        <w:rPr>
          <w:rFonts w:eastAsiaTheme="minorEastAsia"/>
          <w:lang w:val="en-NZ"/>
        </w:rPr>
        <w:t>Australia’s</w:t>
      </w:r>
      <w:r w:rsidR="00420E8B">
        <w:rPr>
          <w:rFonts w:eastAsiaTheme="minorEastAsia"/>
          <w:lang w:val="en-NZ"/>
        </w:rPr>
        <w:t> </w:t>
      </w:r>
      <w:r w:rsidR="00E00607" w:rsidRPr="00BF44AF">
        <w:rPr>
          <w:rFonts w:eastAsiaTheme="minorEastAsia"/>
          <w:lang w:val="en-NZ"/>
        </w:rPr>
        <w:t>Disability Strategy to build positive community attitudes</w:t>
      </w:r>
      <w:r>
        <w:t>.</w:t>
      </w:r>
      <w:r w:rsidR="00420E8B">
        <w:t xml:space="preserve"> All material will be </w:t>
      </w:r>
      <w:r w:rsidR="006F19AC">
        <w:t xml:space="preserve">tailored and accessible </w:t>
      </w:r>
      <w:r w:rsidR="00F72B9A">
        <w:t xml:space="preserve">and be appropriate </w:t>
      </w:r>
      <w:r w:rsidR="006F19AC">
        <w:t>to F</w:t>
      </w:r>
      <w:r w:rsidR="00420E8B">
        <w:t>irst Nations and Culturally and </w:t>
      </w:r>
      <w:r w:rsidR="006F19AC">
        <w:t xml:space="preserve">Linguistically Diverse people.  </w:t>
      </w:r>
    </w:p>
    <w:p w14:paraId="29D8B7D1" w14:textId="14809C10" w:rsidR="00F56D36" w:rsidRPr="005066EC" w:rsidRDefault="005A51E2" w:rsidP="005A51E2">
      <w:pPr>
        <w:spacing w:after="160" w:line="259" w:lineRule="auto"/>
      </w:pPr>
      <w:r>
        <w:br w:type="page"/>
      </w:r>
    </w:p>
    <w:tbl>
      <w:tblPr>
        <w:tblStyle w:val="TableGrid"/>
        <w:tblW w:w="0" w:type="auto"/>
        <w:tblLook w:val="04A0" w:firstRow="1" w:lastRow="0" w:firstColumn="1" w:lastColumn="0" w:noHBand="0" w:noVBand="1"/>
        <w:tblDescription w:val="Decorative"/>
      </w:tblPr>
      <w:tblGrid>
        <w:gridCol w:w="9016"/>
      </w:tblGrid>
      <w:tr w:rsidR="005A51E2" w14:paraId="7DF36BF4" w14:textId="77777777" w:rsidTr="005A51E2">
        <w:tc>
          <w:tcPr>
            <w:tcW w:w="9016" w:type="dxa"/>
          </w:tcPr>
          <w:p w14:paraId="273B74CD" w14:textId="77777777" w:rsidR="005A51E2" w:rsidRPr="005A51E2" w:rsidRDefault="005A51E2" w:rsidP="005A51E2">
            <w:pPr>
              <w:spacing w:line="276" w:lineRule="auto"/>
              <w:jc w:val="both"/>
              <w:rPr>
                <w:b/>
              </w:rPr>
            </w:pPr>
            <w:r w:rsidRPr="005A51E2">
              <w:rPr>
                <w:b/>
              </w:rPr>
              <w:lastRenderedPageBreak/>
              <w:t>Recommendation 11</w:t>
            </w:r>
          </w:p>
          <w:p w14:paraId="5EDDCC4C" w14:textId="097437F3" w:rsidR="005A51E2" w:rsidRPr="005A51E2" w:rsidRDefault="005A51E2" w:rsidP="005A51E2">
            <w:r w:rsidRPr="00C34C80">
              <w:t>The committee recommends that the National Autism Strategy identify actions to promote awareness of, and access to, quality, evidence-based information about autism</w:t>
            </w:r>
            <w:r w:rsidRPr="00C34C80">
              <w:rPr>
                <w:spacing w:val="-14"/>
              </w:rPr>
              <w:t xml:space="preserve"> </w:t>
            </w:r>
            <w:r w:rsidRPr="00C34C80">
              <w:t>for</w:t>
            </w:r>
            <w:r w:rsidRPr="00C34C80">
              <w:rPr>
                <w:spacing w:val="-15"/>
              </w:rPr>
              <w:t xml:space="preserve"> </w:t>
            </w:r>
            <w:r w:rsidRPr="00C34C80">
              <w:t>autistic</w:t>
            </w:r>
            <w:r w:rsidRPr="00C34C80">
              <w:rPr>
                <w:spacing w:val="-16"/>
              </w:rPr>
              <w:t xml:space="preserve"> </w:t>
            </w:r>
            <w:r w:rsidRPr="00C34C80">
              <w:t>people,</w:t>
            </w:r>
            <w:r w:rsidRPr="00C34C80">
              <w:rPr>
                <w:spacing w:val="-15"/>
              </w:rPr>
              <w:t xml:space="preserve"> </w:t>
            </w:r>
            <w:r w:rsidRPr="00C34C80">
              <w:t>their</w:t>
            </w:r>
            <w:r w:rsidRPr="00C34C80">
              <w:rPr>
                <w:spacing w:val="-14"/>
              </w:rPr>
              <w:t xml:space="preserve"> </w:t>
            </w:r>
            <w:r w:rsidRPr="00C34C80">
              <w:t>families,</w:t>
            </w:r>
            <w:r w:rsidRPr="00C34C80">
              <w:rPr>
                <w:spacing w:val="-15"/>
              </w:rPr>
              <w:t xml:space="preserve"> </w:t>
            </w:r>
            <w:r w:rsidRPr="00C34C80">
              <w:t>and</w:t>
            </w:r>
            <w:r w:rsidRPr="00C34C80">
              <w:rPr>
                <w:spacing w:val="-16"/>
              </w:rPr>
              <w:t xml:space="preserve"> </w:t>
            </w:r>
            <w:r w:rsidRPr="00C34C80">
              <w:t>professionals in autism-related sectors.</w:t>
            </w:r>
          </w:p>
        </w:tc>
      </w:tr>
    </w:tbl>
    <w:p w14:paraId="2D15D390" w14:textId="77777777" w:rsidR="005A51E2" w:rsidRPr="00CB3B5C" w:rsidRDefault="005A51E2" w:rsidP="00F56D36"/>
    <w:p w14:paraId="7D76A446" w14:textId="62889700" w:rsidR="00F56D36" w:rsidRPr="00E3351B" w:rsidRDefault="00F56D36" w:rsidP="00F56D36">
      <w:r w:rsidRPr="00E3351B">
        <w:rPr>
          <w:b/>
        </w:rPr>
        <w:t>Support</w:t>
      </w:r>
      <w:r w:rsidR="00657E5E" w:rsidRPr="00E3351B">
        <w:rPr>
          <w:b/>
        </w:rPr>
        <w:t>ed</w:t>
      </w:r>
    </w:p>
    <w:p w14:paraId="103A7F2C" w14:textId="60EA72BA" w:rsidR="00452B91" w:rsidRDefault="00F56D36" w:rsidP="00A71474">
      <w:pPr>
        <w:spacing w:after="240"/>
      </w:pPr>
      <w:r w:rsidRPr="001636EB">
        <w:t xml:space="preserve">The </w:t>
      </w:r>
      <w:r w:rsidR="00390CD1">
        <w:t xml:space="preserve">Australian </w:t>
      </w:r>
      <w:r w:rsidRPr="001636EB">
        <w:t>Government</w:t>
      </w:r>
      <w:r>
        <w:t xml:space="preserve"> provides supports for a range of resources</w:t>
      </w:r>
      <w:r w:rsidR="00432A26">
        <w:t xml:space="preserve"> that promote awareness of, and </w:t>
      </w:r>
      <w:r>
        <w:t>access to, quality and evidence-based information about di</w:t>
      </w:r>
      <w:r w:rsidR="00432A26">
        <w:t>sability, including autism, for </w:t>
      </w:r>
      <w:r>
        <w:t>people with disab</w:t>
      </w:r>
      <w:r w:rsidRPr="00FC51DA">
        <w:t>ility</w:t>
      </w:r>
      <w:r>
        <w:t xml:space="preserve"> and</w:t>
      </w:r>
      <w:r w:rsidR="00390CD1">
        <w:t xml:space="preserve"> their families and carers. </w:t>
      </w:r>
    </w:p>
    <w:p w14:paraId="68F038D0" w14:textId="00636B28" w:rsidR="00F56D36" w:rsidRDefault="00390CD1" w:rsidP="00A71474">
      <w:pPr>
        <w:spacing w:after="240"/>
      </w:pPr>
      <w:r>
        <w:t>The Australian </w:t>
      </w:r>
      <w:r w:rsidR="00F56D36">
        <w:t>Government also provides supports for the development of resources for</w:t>
      </w:r>
      <w:r w:rsidR="00F56D36" w:rsidRPr="00FC51DA">
        <w:t xml:space="preserve"> professionals in autism-related sectors.</w:t>
      </w:r>
      <w:r w:rsidR="00432A26">
        <w:t xml:space="preserve"> Actions </w:t>
      </w:r>
      <w:r w:rsidR="00F56D36">
        <w:t>to further p</w:t>
      </w:r>
      <w:r w:rsidR="004B71A0">
        <w:t>romote awareness of, and access </w:t>
      </w:r>
      <w:r w:rsidR="00F56D36">
        <w:t xml:space="preserve">to, information and resources for autistic people and </w:t>
      </w:r>
      <w:r w:rsidR="004B71A0">
        <w:t>their families and carers, will </w:t>
      </w:r>
      <w:r w:rsidR="00F56D36">
        <w:t>be considered in t</w:t>
      </w:r>
      <w:r w:rsidR="00432A26">
        <w:t>he development of a National </w:t>
      </w:r>
      <w:r w:rsidR="00F56D36">
        <w:t>Autism Strategy</w:t>
      </w:r>
      <w:r w:rsidR="00414EAD">
        <w:t>.</w:t>
      </w:r>
    </w:p>
    <w:p w14:paraId="3786440B" w14:textId="64116FB0" w:rsidR="00F56D36" w:rsidRDefault="003C2564" w:rsidP="00A71474">
      <w:pPr>
        <w:spacing w:after="240"/>
      </w:pPr>
      <w:r>
        <w:t>For example, t</w:t>
      </w:r>
      <w:r w:rsidR="00F56D36">
        <w:t>he Information, Linkages and Capacity Building (ILC) grants program</w:t>
      </w:r>
      <w:r w:rsidR="00F56D36" w:rsidRPr="007207D9">
        <w:t xml:space="preserve"> </w:t>
      </w:r>
      <w:r w:rsidR="00F56D36">
        <w:t xml:space="preserve">provides funding </w:t>
      </w:r>
      <w:r w:rsidR="0088798B">
        <w:t xml:space="preserve">for a range of autism-specific projects including </w:t>
      </w:r>
      <w:r w:rsidR="00F56D36">
        <w:t xml:space="preserve">to </w:t>
      </w:r>
      <w:r w:rsidR="00F56D36" w:rsidRPr="007207D9">
        <w:t>Amaze Incorporated for Autism Connect - a national information service for autistic people, their families and carers, health professionals, researchers, teachers, employ</w:t>
      </w:r>
      <w:r w:rsidR="002E33FB">
        <w:t>ers and the broader community.</w:t>
      </w:r>
    </w:p>
    <w:p w14:paraId="37246C23" w14:textId="400F6298" w:rsidR="00432A26" w:rsidRDefault="00414EAD" w:rsidP="00A71474">
      <w:pPr>
        <w:spacing w:after="240"/>
      </w:pPr>
      <w:r>
        <w:t xml:space="preserve">The ILC grants program </w:t>
      </w:r>
      <w:r w:rsidR="004B71A0">
        <w:t xml:space="preserve">also </w:t>
      </w:r>
      <w:r w:rsidR="00F56D36">
        <w:t>provides funding to the Autism</w:t>
      </w:r>
      <w:r w:rsidR="00F601D7">
        <w:t xml:space="preserve"> Cooperative Research Centre</w:t>
      </w:r>
      <w:r w:rsidR="00F56D36">
        <w:t xml:space="preserve"> </w:t>
      </w:r>
      <w:r w:rsidR="00432A26">
        <w:t>(the </w:t>
      </w:r>
      <w:r w:rsidR="00F601D7">
        <w:t xml:space="preserve">Autism </w:t>
      </w:r>
      <w:r w:rsidR="00F56D36">
        <w:t>C</w:t>
      </w:r>
      <w:r w:rsidR="003E78A9">
        <w:t>RC</w:t>
      </w:r>
      <w:r w:rsidR="00F601D7">
        <w:t>)</w:t>
      </w:r>
      <w:r w:rsidR="00F56D36" w:rsidRPr="007207D9">
        <w:t xml:space="preserve"> for the National Best-Practice Asse</w:t>
      </w:r>
      <w:r w:rsidR="00E3351B">
        <w:t xml:space="preserve">ssment and Diagnosis project to </w:t>
      </w:r>
      <w:r w:rsidR="00F56D36" w:rsidRPr="007207D9">
        <w:t xml:space="preserve">develop resources to support mainstream health providers involved in the assessment and diagnosis of autism. This project builds on the Autism CRC’s National Implementation Toolkit, a set of resources to promote the </w:t>
      </w:r>
      <w:r w:rsidR="00F56D36" w:rsidRPr="00414EAD">
        <w:t>National Guideline for the Assessment and Diagnosis of Autism Spectrum Disorders in Australia.</w:t>
      </w:r>
    </w:p>
    <w:p w14:paraId="51F5F162" w14:textId="1F378FCD" w:rsidR="00FE31DC" w:rsidRPr="00FE31DC" w:rsidRDefault="002E33FB" w:rsidP="00A71474">
      <w:pPr>
        <w:spacing w:after="240"/>
      </w:pPr>
      <w:r w:rsidRPr="002E33FB">
        <w:t xml:space="preserve">The </w:t>
      </w:r>
      <w:r w:rsidR="00390CD1">
        <w:t xml:space="preserve">Australian </w:t>
      </w:r>
      <w:r w:rsidR="00432A26" w:rsidRPr="002E33FB">
        <w:t>Government has</w:t>
      </w:r>
      <w:r w:rsidRPr="002E33FB">
        <w:t xml:space="preserve"> also</w:t>
      </w:r>
      <w:r w:rsidR="00432A26" w:rsidRPr="002E33FB">
        <w:t xml:space="preserve"> committed $2 million for t</w:t>
      </w:r>
      <w:r>
        <w:t>he Autism CRC to continue to be </w:t>
      </w:r>
      <w:r w:rsidR="00432A26" w:rsidRPr="002E33FB">
        <w:t xml:space="preserve">Australia’s leading organisation </w:t>
      </w:r>
      <w:r w:rsidRPr="002E33FB">
        <w:t xml:space="preserve">for autism </w:t>
      </w:r>
      <w:r w:rsidR="00432A26" w:rsidRPr="002E33FB">
        <w:t xml:space="preserve">research, </w:t>
      </w:r>
      <w:r w:rsidR="004B71A0">
        <w:t>coordination, collaboration and </w:t>
      </w:r>
      <w:r w:rsidR="00432A26" w:rsidRPr="002E33FB">
        <w:t>advice.</w:t>
      </w:r>
      <w:r w:rsidRPr="002E33FB">
        <w:t xml:space="preserve"> This commitment will </w:t>
      </w:r>
      <w:r w:rsidR="00432A26" w:rsidRPr="002E33FB">
        <w:t>also support development a</w:t>
      </w:r>
      <w:r w:rsidR="00E3351B">
        <w:t>nd implementation o</w:t>
      </w:r>
      <w:r w:rsidR="004B71A0">
        <w:t>f a </w:t>
      </w:r>
      <w:r w:rsidR="00E3351B">
        <w:t xml:space="preserve">National </w:t>
      </w:r>
      <w:r w:rsidR="00432A26" w:rsidRPr="002E33FB">
        <w:t>Autism Strategy, with a national research agenda and ev</w:t>
      </w:r>
      <w:r w:rsidR="00FE31DC">
        <w:t>idence-based practice platform.</w:t>
      </w:r>
    </w:p>
    <w:tbl>
      <w:tblPr>
        <w:tblStyle w:val="TableGrid"/>
        <w:tblW w:w="0" w:type="auto"/>
        <w:tblLook w:val="04A0" w:firstRow="1" w:lastRow="0" w:firstColumn="1" w:lastColumn="0" w:noHBand="0" w:noVBand="1"/>
        <w:tblDescription w:val="Decorative"/>
      </w:tblPr>
      <w:tblGrid>
        <w:gridCol w:w="9016"/>
      </w:tblGrid>
      <w:tr w:rsidR="005A51E2" w14:paraId="42AD3CAB" w14:textId="77777777" w:rsidTr="005A51E2">
        <w:tc>
          <w:tcPr>
            <w:tcW w:w="9016" w:type="dxa"/>
          </w:tcPr>
          <w:p w14:paraId="55E1470A" w14:textId="0AC625EB" w:rsidR="005A51E2" w:rsidRPr="005A51E2" w:rsidRDefault="005A51E2" w:rsidP="005A51E2">
            <w:pPr>
              <w:spacing w:line="276" w:lineRule="auto"/>
              <w:jc w:val="both"/>
              <w:rPr>
                <w:rFonts w:eastAsia="Calibri"/>
                <w:b/>
              </w:rPr>
            </w:pPr>
            <w:r w:rsidRPr="005A51E2">
              <w:rPr>
                <w:rFonts w:eastAsia="Calibri"/>
                <w:b/>
              </w:rPr>
              <w:t>Recommendation 12</w:t>
            </w:r>
          </w:p>
          <w:p w14:paraId="6ED6D4C3" w14:textId="19921327" w:rsidR="005A51E2" w:rsidRPr="005A51E2" w:rsidRDefault="005A51E2" w:rsidP="005A51E2">
            <w:pPr>
              <w:tabs>
                <w:tab w:val="left" w:pos="1395"/>
              </w:tabs>
              <w:rPr>
                <w:rFonts w:eastAsia="Calibri"/>
              </w:rPr>
            </w:pPr>
            <w:r w:rsidRPr="007661E9">
              <w:rPr>
                <w:rFonts w:eastAsia="Calibri"/>
              </w:rPr>
              <w:t>The committee recommends that the Australian Government develop guidelines on autism-friendly service design through the National Autism Strategy in order to help service providers tailor services and service environments to meet the needs of autistic individuals.</w:t>
            </w:r>
          </w:p>
        </w:tc>
      </w:tr>
    </w:tbl>
    <w:p w14:paraId="1A059EC6" w14:textId="77777777" w:rsidR="005A51E2" w:rsidRPr="00CB3B5C" w:rsidRDefault="005A51E2" w:rsidP="00CE5355"/>
    <w:p w14:paraId="79667FC0" w14:textId="649D657A" w:rsidR="00CE5355" w:rsidRPr="00414EAD" w:rsidRDefault="002E33FB" w:rsidP="00CE5355">
      <w:r>
        <w:rPr>
          <w:b/>
        </w:rPr>
        <w:t>Supported in principle</w:t>
      </w:r>
    </w:p>
    <w:p w14:paraId="6DB62F1D" w14:textId="5A874C66" w:rsidR="007B6B7C" w:rsidRDefault="00CE5355" w:rsidP="007B6B7C">
      <w:r>
        <w:t>The development of guidelines on autism-friendly service design to help service providers tailor services and service environments to meet the needs of autistic individuals will b</w:t>
      </w:r>
      <w:r w:rsidR="00E3351B">
        <w:t>e </w:t>
      </w:r>
      <w:r>
        <w:t>considered in the development of a National Autism Strategy.</w:t>
      </w:r>
    </w:p>
    <w:p w14:paraId="43169DEA" w14:textId="02F11340" w:rsidR="00E271F4" w:rsidRPr="00CB3B5C" w:rsidRDefault="00FE31DC" w:rsidP="00CB3B5C">
      <w:pPr>
        <w:spacing w:after="160" w:line="259" w:lineRule="auto"/>
      </w:pPr>
      <w:r>
        <w:br w:type="page"/>
      </w:r>
    </w:p>
    <w:tbl>
      <w:tblPr>
        <w:tblStyle w:val="TableGrid"/>
        <w:tblW w:w="0" w:type="auto"/>
        <w:tblLook w:val="04A0" w:firstRow="1" w:lastRow="0" w:firstColumn="1" w:lastColumn="0" w:noHBand="0" w:noVBand="1"/>
        <w:tblDescription w:val="Decorative"/>
      </w:tblPr>
      <w:tblGrid>
        <w:gridCol w:w="9016"/>
      </w:tblGrid>
      <w:tr w:rsidR="005A51E2" w14:paraId="56052366" w14:textId="77777777" w:rsidTr="005A51E2">
        <w:tc>
          <w:tcPr>
            <w:tcW w:w="9016" w:type="dxa"/>
          </w:tcPr>
          <w:p w14:paraId="7DCDBCCF" w14:textId="77777777" w:rsidR="005A51E2" w:rsidRPr="005A51E2" w:rsidRDefault="005A51E2" w:rsidP="005A51E2">
            <w:pPr>
              <w:spacing w:line="276" w:lineRule="auto"/>
              <w:jc w:val="both"/>
              <w:rPr>
                <w:b/>
              </w:rPr>
            </w:pPr>
            <w:r w:rsidRPr="005A51E2">
              <w:rPr>
                <w:b/>
              </w:rPr>
              <w:lastRenderedPageBreak/>
              <w:t>Recommendation 13</w:t>
            </w:r>
          </w:p>
          <w:p w14:paraId="58D1517A" w14:textId="77777777" w:rsidR="005A51E2" w:rsidRPr="007661E9" w:rsidRDefault="005A51E2" w:rsidP="005A51E2">
            <w:pPr>
              <w:widowControl w:val="0"/>
              <w:tabs>
                <w:tab w:val="left" w:pos="744"/>
              </w:tabs>
              <w:autoSpaceDE w:val="0"/>
              <w:autoSpaceDN w:val="0"/>
              <w:spacing w:before="60"/>
              <w:ind w:right="717"/>
              <w:contextualSpacing/>
            </w:pPr>
            <w:r w:rsidRPr="007661E9">
              <w:t>The committee recommends that a National Autism Workforce Plan be developed under the auspices of the National Autism Str</w:t>
            </w:r>
            <w:r>
              <w:t>ategy to ensure the supply of a </w:t>
            </w:r>
            <w:r w:rsidRPr="007661E9">
              <w:t>suitable and appropriate</w:t>
            </w:r>
            <w:r w:rsidRPr="007661E9">
              <w:rPr>
                <w:spacing w:val="-5"/>
              </w:rPr>
              <w:t xml:space="preserve"> </w:t>
            </w:r>
            <w:r w:rsidRPr="007661E9">
              <w:t>workforce</w:t>
            </w:r>
            <w:r w:rsidRPr="007661E9">
              <w:rPr>
                <w:spacing w:val="-5"/>
              </w:rPr>
              <w:t xml:space="preserve"> </w:t>
            </w:r>
            <w:r w:rsidRPr="007661E9">
              <w:t>to</w:t>
            </w:r>
            <w:r w:rsidRPr="007661E9">
              <w:rPr>
                <w:spacing w:val="-5"/>
              </w:rPr>
              <w:t xml:space="preserve"> </w:t>
            </w:r>
            <w:r w:rsidRPr="007661E9">
              <w:t>deliver</w:t>
            </w:r>
            <w:r w:rsidRPr="007661E9">
              <w:rPr>
                <w:spacing w:val="-5"/>
              </w:rPr>
              <w:t xml:space="preserve"> </w:t>
            </w:r>
            <w:r w:rsidRPr="007661E9">
              <w:t>services</w:t>
            </w:r>
            <w:r w:rsidRPr="007661E9">
              <w:rPr>
                <w:spacing w:val="-7"/>
              </w:rPr>
              <w:t xml:space="preserve"> </w:t>
            </w:r>
            <w:r w:rsidRPr="007661E9">
              <w:t>for</w:t>
            </w:r>
            <w:r w:rsidRPr="007661E9">
              <w:rPr>
                <w:spacing w:val="-5"/>
              </w:rPr>
              <w:t xml:space="preserve"> </w:t>
            </w:r>
            <w:r>
              <w:t>autistic people. The </w:t>
            </w:r>
            <w:r w:rsidRPr="007661E9">
              <w:t>National Autism Workforce Plan should identify actions, accompanied by clear and measurable outcomes,</w:t>
            </w:r>
            <w:r w:rsidRPr="007661E9">
              <w:rPr>
                <w:spacing w:val="-2"/>
              </w:rPr>
              <w:t xml:space="preserve"> </w:t>
            </w:r>
            <w:r w:rsidRPr="007661E9">
              <w:t>to:</w:t>
            </w:r>
          </w:p>
          <w:p w14:paraId="712F8DF5" w14:textId="77777777" w:rsidR="005A51E2" w:rsidRPr="007661E9" w:rsidRDefault="005A51E2" w:rsidP="005A51E2">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improve data around current and future w</w:t>
            </w:r>
            <w:r>
              <w:rPr>
                <w:rFonts w:ascii="Times New Roman" w:hAnsi="Times New Roman" w:cs="Times New Roman"/>
                <w:sz w:val="24"/>
                <w:szCs w:val="24"/>
              </w:rPr>
              <w:t>orkforce gaps and shortages (as </w:t>
            </w:r>
            <w:r w:rsidRPr="007661E9">
              <w:rPr>
                <w:rFonts w:ascii="Times New Roman" w:hAnsi="Times New Roman" w:cs="Times New Roman"/>
                <w:sz w:val="24"/>
                <w:szCs w:val="24"/>
              </w:rPr>
              <w:t>they relate to the needs of the autism community);</w:t>
            </w:r>
          </w:p>
          <w:p w14:paraId="4865EBA3" w14:textId="77777777" w:rsidR="005A51E2" w:rsidRPr="007661E9" w:rsidRDefault="005A51E2" w:rsidP="005A51E2">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attract, train and retain workers in ide</w:t>
            </w:r>
            <w:r>
              <w:rPr>
                <w:rFonts w:ascii="Times New Roman" w:hAnsi="Times New Roman" w:cs="Times New Roman"/>
                <w:sz w:val="24"/>
                <w:szCs w:val="24"/>
              </w:rPr>
              <w:t>ntified areas of shortage (both </w:t>
            </w:r>
            <w:r w:rsidRPr="007661E9">
              <w:rPr>
                <w:rFonts w:ascii="Times New Roman" w:hAnsi="Times New Roman" w:cs="Times New Roman"/>
                <w:sz w:val="24"/>
                <w:szCs w:val="24"/>
              </w:rPr>
              <w:t>geographic and sector/profession-specific);</w:t>
            </w:r>
          </w:p>
          <w:p w14:paraId="090D9AF8" w14:textId="77777777" w:rsidR="005A51E2" w:rsidRPr="007661E9" w:rsidRDefault="005A51E2" w:rsidP="005A51E2">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increase autism content in relevant undergraduate training courses;</w:t>
            </w:r>
          </w:p>
          <w:p w14:paraId="69FECBE5" w14:textId="77777777" w:rsidR="005A51E2" w:rsidRPr="007661E9" w:rsidRDefault="005A51E2" w:rsidP="005A51E2">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develop accredited autism-specific short courses (or promote existing accredited courses) for current workers; and</w:t>
            </w:r>
          </w:p>
          <w:p w14:paraId="6EE10C0C" w14:textId="77777777" w:rsidR="005A51E2" w:rsidRDefault="005A51E2" w:rsidP="005A51E2">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7661E9">
              <w:rPr>
                <w:rFonts w:ascii="Times New Roman" w:hAnsi="Times New Roman" w:cs="Times New Roman"/>
                <w:sz w:val="24"/>
                <w:szCs w:val="24"/>
              </w:rPr>
              <w:t>embed autism as part of ongoing professional development requirements related to professional registration.</w:t>
            </w:r>
          </w:p>
          <w:p w14:paraId="59FCE5B4" w14:textId="484ED242" w:rsidR="005A51E2" w:rsidRPr="005A51E2" w:rsidRDefault="005A51E2" w:rsidP="005A51E2">
            <w:pPr>
              <w:rPr>
                <w:bCs/>
              </w:rPr>
            </w:pPr>
            <w:r w:rsidRPr="007661E9">
              <w:t xml:space="preserve">Where appropriate, the National Autism Workforce Plan should align with existing workforce strategies, </w:t>
            </w:r>
            <w:r w:rsidRPr="005A51E2">
              <w:t>including</w:t>
            </w:r>
            <w:r w:rsidRPr="005A51E2">
              <w:rPr>
                <w:shd w:val="clear" w:color="auto" w:fill="FFFFFF" w:themeFill="background1"/>
              </w:rPr>
              <w:t xml:space="preserve"> the </w:t>
            </w:r>
            <w:r w:rsidRPr="005A51E2">
              <w:rPr>
                <w:bCs/>
                <w:i/>
                <w:shd w:val="clear" w:color="auto" w:fill="FFFFFF" w:themeFill="background1"/>
              </w:rPr>
              <w:t>NDIS</w:t>
            </w:r>
            <w:r w:rsidRPr="005A51E2">
              <w:rPr>
                <w:bCs/>
                <w:i/>
              </w:rPr>
              <w:t xml:space="preserve"> National</w:t>
            </w:r>
            <w:r w:rsidRPr="007661E9">
              <w:rPr>
                <w:bCs/>
                <w:i/>
              </w:rPr>
              <w:t xml:space="preserve"> Workforce Plan: 2021–2025</w:t>
            </w:r>
            <w:r w:rsidRPr="007661E9">
              <w:rPr>
                <w:bCs/>
              </w:rPr>
              <w:t>.</w:t>
            </w:r>
          </w:p>
        </w:tc>
      </w:tr>
    </w:tbl>
    <w:p w14:paraId="33EEBD53" w14:textId="2A9FA4C1" w:rsidR="005A51E2" w:rsidRPr="00CB3B5C" w:rsidRDefault="005A51E2" w:rsidP="00E271F4"/>
    <w:p w14:paraId="55B4E9A8" w14:textId="79CC7699" w:rsidR="00E271F4" w:rsidRPr="008F07C4" w:rsidRDefault="00E271F4" w:rsidP="00E271F4">
      <w:pPr>
        <w:rPr>
          <w:b/>
        </w:rPr>
      </w:pPr>
      <w:r w:rsidRPr="008F07C4">
        <w:rPr>
          <w:b/>
        </w:rPr>
        <w:t>S</w:t>
      </w:r>
      <w:r w:rsidR="002E33FB">
        <w:rPr>
          <w:b/>
        </w:rPr>
        <w:t>upported</w:t>
      </w:r>
      <w:r w:rsidR="003C2F3E">
        <w:rPr>
          <w:b/>
        </w:rPr>
        <w:t xml:space="preserve"> in principle</w:t>
      </w:r>
    </w:p>
    <w:p w14:paraId="18A08FF9" w14:textId="6A1ABCCB" w:rsidR="00124A3F" w:rsidRDefault="00124A3F" w:rsidP="00A71474">
      <w:pPr>
        <w:spacing w:after="240"/>
      </w:pPr>
      <w:r>
        <w:t>A suitable and appropriate workforce to deliver services for autistic people, both inside and outside the NDIS, will be considered in the development of a National Autism Strategy.</w:t>
      </w:r>
    </w:p>
    <w:p w14:paraId="71EADA0B" w14:textId="11E3237E" w:rsidR="00707108" w:rsidRPr="00A71474" w:rsidRDefault="00707108" w:rsidP="00A71474">
      <w:pPr>
        <w:spacing w:after="240"/>
        <w:rPr>
          <w:sz w:val="22"/>
          <w:szCs w:val="22"/>
        </w:rPr>
      </w:pPr>
      <w:r>
        <w:t xml:space="preserve">The Australian Government is </w:t>
      </w:r>
      <w:r w:rsidR="00BE1743">
        <w:t>committed to deliver</w:t>
      </w:r>
      <w:r w:rsidR="006F71DA">
        <w:t>ing the NDIS so that Australian</w:t>
      </w:r>
      <w:r w:rsidR="00BE1743">
        <w:t xml:space="preserve">s with disability are supported to meet their needs and have equal opportunities. </w:t>
      </w:r>
    </w:p>
    <w:p w14:paraId="36335E63" w14:textId="27B8C286" w:rsidR="00FE31DC" w:rsidRPr="005A51E2" w:rsidRDefault="00707108" w:rsidP="00A71474">
      <w:pPr>
        <w:spacing w:after="240"/>
      </w:pPr>
      <w:r>
        <w:t>The</w:t>
      </w:r>
      <w:r w:rsidR="00390CD1">
        <w:t xml:space="preserve"> </w:t>
      </w:r>
      <w:r w:rsidR="001E600E">
        <w:t xml:space="preserve">Australian </w:t>
      </w:r>
      <w:r w:rsidR="00E271F4" w:rsidRPr="008F07C4">
        <w:t>Government will</w:t>
      </w:r>
      <w:r w:rsidR="00124A3F">
        <w:t xml:space="preserve"> also</w:t>
      </w:r>
      <w:r w:rsidR="00E271F4" w:rsidRPr="008F07C4">
        <w:t xml:space="preserve"> develop a</w:t>
      </w:r>
      <w:r w:rsidR="003C2F3E">
        <w:t xml:space="preserve"> n</w:t>
      </w:r>
      <w:r w:rsidR="001E600E">
        <w:t>ew comprehensive NDIS Workforce </w:t>
      </w:r>
      <w:r w:rsidR="003C2F3E">
        <w:t xml:space="preserve">Strategy </w:t>
      </w:r>
      <w:r w:rsidR="00E271F4" w:rsidRPr="008F07C4">
        <w:t>that addresses key workforce pressures resulting in shortages</w:t>
      </w:r>
      <w:r w:rsidR="00FD55B8">
        <w:t>, including</w:t>
      </w:r>
      <w:r w:rsidR="00E271F4" w:rsidRPr="008F07C4">
        <w:t xml:space="preserve"> for the workforce supporting </w:t>
      </w:r>
      <w:r w:rsidR="00661EB3">
        <w:t xml:space="preserve">autistic </w:t>
      </w:r>
      <w:r w:rsidR="00E271F4" w:rsidRPr="008F07C4">
        <w:t>people. The</w:t>
      </w:r>
      <w:r w:rsidR="00FD55B8">
        <w:t xml:space="preserve"> </w:t>
      </w:r>
      <w:r w:rsidR="001E600E">
        <w:t>NDIS Workforce Strategy will be </w:t>
      </w:r>
      <w:r w:rsidR="00FD55B8">
        <w:t>informed by the consultations for the development of a</w:t>
      </w:r>
      <w:r>
        <w:t> </w:t>
      </w:r>
      <w:r w:rsidR="00390CD1">
        <w:t>National </w:t>
      </w:r>
      <w:r w:rsidR="00E271F4" w:rsidRPr="008F07C4">
        <w:t>Autism Strategy,</w:t>
      </w:r>
      <w:r w:rsidR="001E600E">
        <w:t xml:space="preserve"> and </w:t>
      </w:r>
      <w:r w:rsidR="00FD55B8">
        <w:t>align with other key strategies including</w:t>
      </w:r>
      <w:r w:rsidR="00E271F4" w:rsidRPr="008F07C4">
        <w:t xml:space="preserve"> the Closing the Gap’s Strategic Plan for Funding the Development of the Aboriginal and T</w:t>
      </w:r>
      <w:r w:rsidR="00390CD1">
        <w:t xml:space="preserve">orres Strait Islander Community </w:t>
      </w:r>
      <w:r w:rsidR="00E271F4" w:rsidRPr="008F07C4">
        <w:t>Controlled Sector.</w:t>
      </w:r>
    </w:p>
    <w:tbl>
      <w:tblPr>
        <w:tblStyle w:val="TableGrid"/>
        <w:tblW w:w="0" w:type="auto"/>
        <w:tblLook w:val="04A0" w:firstRow="1" w:lastRow="0" w:firstColumn="1" w:lastColumn="0" w:noHBand="0" w:noVBand="1"/>
        <w:tblDescription w:val="Decorative"/>
      </w:tblPr>
      <w:tblGrid>
        <w:gridCol w:w="9016"/>
      </w:tblGrid>
      <w:tr w:rsidR="005A51E2" w14:paraId="1577FB65" w14:textId="77777777" w:rsidTr="005A51E2">
        <w:tc>
          <w:tcPr>
            <w:tcW w:w="9016" w:type="dxa"/>
          </w:tcPr>
          <w:p w14:paraId="0AF4914E" w14:textId="77777777" w:rsidR="005A51E2" w:rsidRPr="005A51E2" w:rsidRDefault="005A51E2" w:rsidP="005A51E2">
            <w:pPr>
              <w:spacing w:line="276" w:lineRule="auto"/>
              <w:ind w:left="29"/>
              <w:jc w:val="both"/>
              <w:rPr>
                <w:b/>
              </w:rPr>
            </w:pPr>
            <w:r w:rsidRPr="005A51E2">
              <w:rPr>
                <w:b/>
              </w:rPr>
              <w:t>Recommendation 14</w:t>
            </w:r>
          </w:p>
          <w:p w14:paraId="6FEA958B" w14:textId="3563340A" w:rsidR="005A51E2" w:rsidRPr="005A51E2" w:rsidRDefault="005A51E2" w:rsidP="005A51E2">
            <w:r w:rsidRPr="007661E9">
              <w:t>The committee recommends that the Department of Home Affairs work</w:t>
            </w:r>
            <w:r w:rsidRPr="007661E9">
              <w:rPr>
                <w:spacing w:val="-29"/>
              </w:rPr>
              <w:t xml:space="preserve"> </w:t>
            </w:r>
            <w:r w:rsidRPr="007661E9">
              <w:t>with the Departments of Social Services, Health, and Education, Skills and Training, as well as the National Disability Insurance Agency, to ensure current skilled migration arrangements facilitate migration to fill identified autism workforce shortages.</w:t>
            </w:r>
          </w:p>
        </w:tc>
      </w:tr>
    </w:tbl>
    <w:p w14:paraId="74E179BC" w14:textId="77777777" w:rsidR="005A51E2" w:rsidRPr="00CB3B5C" w:rsidRDefault="005A51E2" w:rsidP="00C34C80"/>
    <w:p w14:paraId="1D53961E" w14:textId="7A2B9434" w:rsidR="00C34C80" w:rsidRDefault="00C34C80" w:rsidP="00C34C80">
      <w:pPr>
        <w:rPr>
          <w:b/>
        </w:rPr>
      </w:pPr>
      <w:r w:rsidRPr="00160698">
        <w:rPr>
          <w:b/>
        </w:rPr>
        <w:t>Supp</w:t>
      </w:r>
      <w:r w:rsidR="006F5736" w:rsidRPr="00160698">
        <w:rPr>
          <w:b/>
        </w:rPr>
        <w:t>ort</w:t>
      </w:r>
      <w:r w:rsidR="00452B91" w:rsidRPr="00160698">
        <w:rPr>
          <w:b/>
        </w:rPr>
        <w:t>ed</w:t>
      </w:r>
    </w:p>
    <w:p w14:paraId="4737E6D6" w14:textId="4C27466E" w:rsidR="00D4034E" w:rsidRDefault="00E872C2" w:rsidP="00D4034E">
      <w:r>
        <w:t>The Department of Home Affairs will work with the Departments of Social Services, Health</w:t>
      </w:r>
      <w:r w:rsidR="00E3351B">
        <w:t> </w:t>
      </w:r>
      <w:r w:rsidR="006E6E6C">
        <w:t>and Aged Care</w:t>
      </w:r>
      <w:r>
        <w:t xml:space="preserve">, and Education, </w:t>
      </w:r>
      <w:r w:rsidR="00273F4F">
        <w:t>Jobs and Skills Australia</w:t>
      </w:r>
      <w:r w:rsidR="00B07229">
        <w:t>,</w:t>
      </w:r>
      <w:r>
        <w:t xml:space="preserve"> as well as </w:t>
      </w:r>
      <w:r w:rsidR="00160698">
        <w:t>the NDIA</w:t>
      </w:r>
      <w:r w:rsidR="00B07229">
        <w:t>,</w:t>
      </w:r>
      <w:r w:rsidR="00160698">
        <w:t xml:space="preserve"> </w:t>
      </w:r>
      <w:r>
        <w:t>to support the sector’s need</w:t>
      </w:r>
      <w:r w:rsidR="004374B4">
        <w:t xml:space="preserve"> for specialist skilled labour </w:t>
      </w:r>
      <w:r>
        <w:t>that cannot be sourced in Australia, through the use of existing skilled visa arrangements.</w:t>
      </w:r>
    </w:p>
    <w:p w14:paraId="3F35E31B" w14:textId="08DBE1D7" w:rsidR="005A51E2" w:rsidRDefault="00FE31DC" w:rsidP="00CB3B5C">
      <w:pPr>
        <w:spacing w:after="160" w:line="259" w:lineRule="auto"/>
      </w:pPr>
      <w:r>
        <w:br w:type="page"/>
      </w:r>
    </w:p>
    <w:tbl>
      <w:tblPr>
        <w:tblStyle w:val="TableGrid"/>
        <w:tblW w:w="0" w:type="auto"/>
        <w:tblLook w:val="04A0" w:firstRow="1" w:lastRow="0" w:firstColumn="1" w:lastColumn="0" w:noHBand="0" w:noVBand="1"/>
        <w:tblDescription w:val="Decorative"/>
      </w:tblPr>
      <w:tblGrid>
        <w:gridCol w:w="9016"/>
      </w:tblGrid>
      <w:tr w:rsidR="005A51E2" w14:paraId="3D5AB9F5" w14:textId="77777777" w:rsidTr="005A51E2">
        <w:tc>
          <w:tcPr>
            <w:tcW w:w="9016" w:type="dxa"/>
          </w:tcPr>
          <w:p w14:paraId="2992EA12" w14:textId="77777777" w:rsidR="005A51E2" w:rsidRPr="005A51E2" w:rsidRDefault="005A51E2" w:rsidP="005A51E2">
            <w:pPr>
              <w:spacing w:line="276" w:lineRule="auto"/>
              <w:jc w:val="both"/>
              <w:rPr>
                <w:b/>
              </w:rPr>
            </w:pPr>
            <w:r w:rsidRPr="005A51E2">
              <w:rPr>
                <w:b/>
              </w:rPr>
              <w:lastRenderedPageBreak/>
              <w:t>Recommendation 15</w:t>
            </w:r>
          </w:p>
          <w:p w14:paraId="36CEFA07" w14:textId="1DAB26E6" w:rsidR="005A51E2" w:rsidRDefault="005A51E2" w:rsidP="005A51E2">
            <w:r w:rsidRPr="007661E9">
              <w:t>The committee recommends that the National Autism Strategy include measures to allow for monitoring and reporting of the social inclusion of autistic people within the community.</w:t>
            </w:r>
          </w:p>
        </w:tc>
      </w:tr>
    </w:tbl>
    <w:p w14:paraId="6E9632A2" w14:textId="2DBA842F" w:rsidR="00C34C80" w:rsidRPr="00CB3B5C" w:rsidRDefault="00C34C80" w:rsidP="00D4034E">
      <w:pPr>
        <w:rPr>
          <w:rFonts w:eastAsiaTheme="minorHAnsi"/>
        </w:rPr>
      </w:pPr>
    </w:p>
    <w:p w14:paraId="085DCB68" w14:textId="21685297" w:rsidR="004E7D35" w:rsidRPr="005066EC" w:rsidRDefault="004E7D35" w:rsidP="004E7D35">
      <w:r w:rsidRPr="005066EC">
        <w:rPr>
          <w:b/>
        </w:rPr>
        <w:t>Support</w:t>
      </w:r>
      <w:r w:rsidR="00160698" w:rsidRPr="005066EC">
        <w:rPr>
          <w:b/>
        </w:rPr>
        <w:t>ed</w:t>
      </w:r>
      <w:r w:rsidRPr="005066EC">
        <w:rPr>
          <w:b/>
        </w:rPr>
        <w:t xml:space="preserve"> in principle</w:t>
      </w:r>
    </w:p>
    <w:p w14:paraId="6DF5CE10" w14:textId="00008177" w:rsidR="00652CE3" w:rsidRPr="00CB3B5C" w:rsidRDefault="00F71126" w:rsidP="00DA0F84">
      <w:pPr>
        <w:spacing w:after="240"/>
      </w:pPr>
      <w:r w:rsidRPr="005066EC">
        <w:t>M</w:t>
      </w:r>
      <w:r w:rsidR="004E7D35" w:rsidRPr="005066EC">
        <w:t>easures to allow for monitoring and reporting of the social inclusion of autistic people within the community will be considered in the development of a Na</w:t>
      </w:r>
      <w:r w:rsidR="00160698" w:rsidRPr="005066EC">
        <w:t xml:space="preserve">tional Autism Strategy. </w:t>
      </w:r>
    </w:p>
    <w:tbl>
      <w:tblPr>
        <w:tblStyle w:val="TableGrid"/>
        <w:tblW w:w="0" w:type="auto"/>
        <w:tblLook w:val="04A0" w:firstRow="1" w:lastRow="0" w:firstColumn="1" w:lastColumn="0" w:noHBand="0" w:noVBand="1"/>
        <w:tblDescription w:val="Decorative"/>
      </w:tblPr>
      <w:tblGrid>
        <w:gridCol w:w="9016"/>
      </w:tblGrid>
      <w:tr w:rsidR="005A51E2" w14:paraId="2ABDECC1" w14:textId="77777777" w:rsidTr="005A51E2">
        <w:tc>
          <w:tcPr>
            <w:tcW w:w="9016" w:type="dxa"/>
          </w:tcPr>
          <w:p w14:paraId="1086E7F6" w14:textId="77777777" w:rsidR="005A51E2" w:rsidRPr="00FE31DC" w:rsidRDefault="005A51E2" w:rsidP="005A51E2">
            <w:pPr>
              <w:spacing w:line="276" w:lineRule="auto"/>
              <w:jc w:val="both"/>
              <w:rPr>
                <w:rFonts w:eastAsia="Calibri"/>
                <w:b/>
              </w:rPr>
            </w:pPr>
            <w:r w:rsidRPr="00FE31DC">
              <w:rPr>
                <w:rFonts w:eastAsia="Calibri"/>
                <w:b/>
              </w:rPr>
              <w:t>Recommendation 16</w:t>
            </w:r>
          </w:p>
          <w:p w14:paraId="48F2EEBF" w14:textId="2F8F87E3" w:rsidR="005A51E2" w:rsidRPr="005A51E2" w:rsidRDefault="005A51E2" w:rsidP="005A51E2">
            <w:pPr>
              <w:rPr>
                <w:rFonts w:eastAsia="Calibri"/>
              </w:rPr>
            </w:pPr>
            <w:r w:rsidRPr="005066EC">
              <w:rPr>
                <w:rFonts w:eastAsia="Calibri"/>
              </w:rPr>
              <w:t xml:space="preserve">The committee recommends that peer-to-peer networking and support projects continue to be funded as a priority under the </w:t>
            </w:r>
            <w:r w:rsidRPr="005066EC">
              <w:rPr>
                <w:rFonts w:eastAsia="Calibri"/>
                <w:bCs/>
              </w:rPr>
              <w:t>Department of Social Services’</w:t>
            </w:r>
            <w:r w:rsidRPr="005066EC">
              <w:rPr>
                <w:rFonts w:eastAsia="Calibri"/>
              </w:rPr>
              <w:t xml:space="preserve"> Information, Linkages and Capacity Building program.</w:t>
            </w:r>
          </w:p>
        </w:tc>
      </w:tr>
    </w:tbl>
    <w:p w14:paraId="363806C1" w14:textId="77777777" w:rsidR="005A51E2" w:rsidRPr="00A91E8E" w:rsidRDefault="005A51E2" w:rsidP="00BF143F"/>
    <w:p w14:paraId="07E51BFF" w14:textId="01A84247" w:rsidR="004E7D35" w:rsidRPr="005066EC" w:rsidRDefault="00160698" w:rsidP="00F56D36">
      <w:pPr>
        <w:rPr>
          <w:b/>
          <w:bCs/>
        </w:rPr>
      </w:pPr>
      <w:r w:rsidRPr="005066EC">
        <w:rPr>
          <w:b/>
          <w:bCs/>
        </w:rPr>
        <w:t xml:space="preserve">Supported </w:t>
      </w:r>
      <w:r w:rsidR="00A706DF" w:rsidRPr="005066EC">
        <w:rPr>
          <w:b/>
          <w:bCs/>
        </w:rPr>
        <w:t>in principle</w:t>
      </w:r>
    </w:p>
    <w:p w14:paraId="3727E109" w14:textId="14343082" w:rsidR="009841E1" w:rsidRPr="005066EC" w:rsidRDefault="00F56D36" w:rsidP="00DA0F84">
      <w:pPr>
        <w:spacing w:after="240"/>
      </w:pPr>
      <w:r w:rsidRPr="005066EC">
        <w:t xml:space="preserve">The </w:t>
      </w:r>
      <w:r w:rsidR="00390CD1" w:rsidRPr="005066EC">
        <w:t xml:space="preserve">Australian </w:t>
      </w:r>
      <w:r w:rsidRPr="005066EC">
        <w:t xml:space="preserve">Government supports this recommendation </w:t>
      </w:r>
      <w:r w:rsidR="00F330C2" w:rsidRPr="005066EC">
        <w:t xml:space="preserve">in principle </w:t>
      </w:r>
      <w:r w:rsidRPr="005066EC">
        <w:t>and acknowledges the importance of peer-to-peer activities in supporting people with disability,</w:t>
      </w:r>
      <w:r w:rsidR="00160698" w:rsidRPr="005066EC">
        <w:t xml:space="preserve"> their families and carers. </w:t>
      </w:r>
    </w:p>
    <w:p w14:paraId="42C22EC8" w14:textId="53EF00DD" w:rsidR="006E0203" w:rsidRPr="005066EC" w:rsidRDefault="00F56D36" w:rsidP="00DA0F84">
      <w:pPr>
        <w:spacing w:after="240"/>
      </w:pPr>
      <w:r w:rsidRPr="005066EC">
        <w:t xml:space="preserve">The aim of the </w:t>
      </w:r>
      <w:r w:rsidR="006E0203" w:rsidRPr="005066EC">
        <w:t>Individual Capacity Building (ICB)</w:t>
      </w:r>
      <w:r w:rsidRPr="005066EC">
        <w:t xml:space="preserve"> Program</w:t>
      </w:r>
      <w:r w:rsidR="006E0203" w:rsidRPr="005066EC">
        <w:t xml:space="preserve"> under the I</w:t>
      </w:r>
      <w:r w:rsidR="00B87118" w:rsidRPr="005066EC">
        <w:t xml:space="preserve">nformation </w:t>
      </w:r>
      <w:r w:rsidR="006E0203" w:rsidRPr="005066EC">
        <w:t>L</w:t>
      </w:r>
      <w:r w:rsidR="00B87118" w:rsidRPr="005066EC">
        <w:t xml:space="preserve">inkages and </w:t>
      </w:r>
      <w:r w:rsidR="006E0203" w:rsidRPr="005066EC">
        <w:t>C</w:t>
      </w:r>
      <w:r w:rsidR="00B87118" w:rsidRPr="005066EC">
        <w:t>apacity Building (ILC)</w:t>
      </w:r>
      <w:r w:rsidRPr="005066EC">
        <w:t xml:space="preserve"> </w:t>
      </w:r>
      <w:r w:rsidR="00E3351B" w:rsidRPr="005066EC">
        <w:t>program is </w:t>
      </w:r>
      <w:r w:rsidR="006E0203" w:rsidRPr="005066EC">
        <w:t xml:space="preserve">designed </w:t>
      </w:r>
      <w:r w:rsidRPr="005066EC">
        <w:t>to provide people with disability the skills and confidence to participate and contribute to the community and protect their rights. T</w:t>
      </w:r>
      <w:r w:rsidR="00B87118" w:rsidRPr="005066EC">
        <w:t>he </w:t>
      </w:r>
      <w:r w:rsidR="00E3351B" w:rsidRPr="005066EC">
        <w:t>ICB Program achieves this by </w:t>
      </w:r>
      <w:r w:rsidRPr="005066EC">
        <w:t>enabling systematic access to peer support, mentoring and other skills building for people with disability, carers and families, to develop their individual capacity. This includes activities that empower a person to be independent and to engage in social, economic and community life.</w:t>
      </w:r>
    </w:p>
    <w:p w14:paraId="064B7A57" w14:textId="4BD37160" w:rsidR="00FE31DC" w:rsidRDefault="002F291C" w:rsidP="00DA0F84">
      <w:pPr>
        <w:spacing w:after="240"/>
      </w:pPr>
      <w:r w:rsidRPr="005066EC">
        <w:t>Consideration will be given to prioritising these projects for f</w:t>
      </w:r>
      <w:r w:rsidR="00E3351B" w:rsidRPr="005066EC">
        <w:t xml:space="preserve">unding as part of the review </w:t>
      </w:r>
      <w:r w:rsidR="00E3351B">
        <w:t>of </w:t>
      </w:r>
      <w:r>
        <w:t xml:space="preserve">the </w:t>
      </w:r>
      <w:r w:rsidR="00FE31DC">
        <w:t xml:space="preserve">ILC Strategy that is underway. </w:t>
      </w:r>
    </w:p>
    <w:tbl>
      <w:tblPr>
        <w:tblStyle w:val="TableGrid"/>
        <w:tblW w:w="0" w:type="auto"/>
        <w:tblLook w:val="04A0" w:firstRow="1" w:lastRow="0" w:firstColumn="1" w:lastColumn="0" w:noHBand="0" w:noVBand="1"/>
        <w:tblDescription w:val="Decorative"/>
      </w:tblPr>
      <w:tblGrid>
        <w:gridCol w:w="9016"/>
      </w:tblGrid>
      <w:tr w:rsidR="00FE31DC" w14:paraId="068485AC" w14:textId="77777777" w:rsidTr="00FE31DC">
        <w:tc>
          <w:tcPr>
            <w:tcW w:w="9016" w:type="dxa"/>
          </w:tcPr>
          <w:p w14:paraId="4BC43650" w14:textId="77777777" w:rsidR="00FE31DC" w:rsidRPr="00FE31DC" w:rsidRDefault="00FE31DC" w:rsidP="00FE31DC">
            <w:pPr>
              <w:spacing w:line="276" w:lineRule="auto"/>
              <w:ind w:left="29"/>
              <w:jc w:val="both"/>
              <w:rPr>
                <w:b/>
              </w:rPr>
            </w:pPr>
            <w:r w:rsidRPr="00FE31DC">
              <w:rPr>
                <w:b/>
              </w:rPr>
              <w:t>Recommendation 17</w:t>
            </w:r>
          </w:p>
          <w:p w14:paraId="60285653" w14:textId="41648563" w:rsidR="00FE31DC" w:rsidRDefault="00FE31DC" w:rsidP="00FE31DC">
            <w:r w:rsidRPr="00FE31DC">
              <w:rPr>
                <w:shd w:val="clear" w:color="auto" w:fill="FFFFFF" w:themeFill="background1"/>
              </w:rPr>
              <w:t xml:space="preserve">The committee recommends that online resources be developed by existing autism education and advocacy organisations—funded through the </w:t>
            </w:r>
            <w:r w:rsidRPr="00FE31DC">
              <w:rPr>
                <w:bCs/>
                <w:shd w:val="clear" w:color="auto" w:fill="FFFFFF" w:themeFill="background1"/>
              </w:rPr>
              <w:t>Department</w:t>
            </w:r>
            <w:r w:rsidRPr="00FE31DC">
              <w:rPr>
                <w:bCs/>
                <w:spacing w:val="-16"/>
                <w:shd w:val="clear" w:color="auto" w:fill="FFFFFF" w:themeFill="background1"/>
              </w:rPr>
              <w:t xml:space="preserve"> </w:t>
            </w:r>
            <w:r w:rsidRPr="00FE31DC">
              <w:rPr>
                <w:bCs/>
                <w:shd w:val="clear" w:color="auto" w:fill="FFFFFF" w:themeFill="background1"/>
              </w:rPr>
              <w:t>of</w:t>
            </w:r>
            <w:r w:rsidRPr="00FE31DC">
              <w:rPr>
                <w:bCs/>
                <w:spacing w:val="-15"/>
                <w:shd w:val="clear" w:color="auto" w:fill="FFFFFF" w:themeFill="background1"/>
              </w:rPr>
              <w:t xml:space="preserve"> </w:t>
            </w:r>
            <w:r w:rsidRPr="00FE31DC">
              <w:rPr>
                <w:bCs/>
                <w:shd w:val="clear" w:color="auto" w:fill="FFFFFF" w:themeFill="background1"/>
              </w:rPr>
              <w:t>Social</w:t>
            </w:r>
            <w:r w:rsidRPr="00FE31DC">
              <w:rPr>
                <w:bCs/>
                <w:spacing w:val="-14"/>
                <w:shd w:val="clear" w:color="auto" w:fill="FFFFFF" w:themeFill="background1"/>
              </w:rPr>
              <w:t xml:space="preserve"> Services’ </w:t>
            </w:r>
            <w:r w:rsidRPr="00FE31DC">
              <w:rPr>
                <w:spacing w:val="-16"/>
                <w:shd w:val="clear" w:color="auto" w:fill="FFFFFF" w:themeFill="background1"/>
              </w:rPr>
              <w:t xml:space="preserve"> </w:t>
            </w:r>
            <w:r w:rsidRPr="00FE31DC">
              <w:rPr>
                <w:shd w:val="clear" w:color="auto" w:fill="FFFFFF" w:themeFill="background1"/>
              </w:rPr>
              <w:t>Information, Linkages and Capacity Building program—and made widely available to help community organisations understand how they can actively support and include autistic</w:t>
            </w:r>
            <w:r w:rsidRPr="00FE31DC">
              <w:rPr>
                <w:spacing w:val="-12"/>
                <w:shd w:val="clear" w:color="auto" w:fill="FFFFFF" w:themeFill="background1"/>
              </w:rPr>
              <w:t xml:space="preserve"> </w:t>
            </w:r>
            <w:r w:rsidRPr="00FE31DC">
              <w:rPr>
                <w:shd w:val="clear" w:color="auto" w:fill="FFFFFF" w:themeFill="background1"/>
              </w:rPr>
              <w:t>people.</w:t>
            </w:r>
          </w:p>
        </w:tc>
      </w:tr>
    </w:tbl>
    <w:p w14:paraId="5539B7DA" w14:textId="03AD7CFC" w:rsidR="00F34231" w:rsidRPr="00A91E8E" w:rsidRDefault="00F34231" w:rsidP="003E3DCD">
      <w:pPr>
        <w:rPr>
          <w:bCs/>
        </w:rPr>
      </w:pPr>
    </w:p>
    <w:p w14:paraId="53E91616" w14:textId="787F537D" w:rsidR="003E3DCD" w:rsidRPr="002E191D" w:rsidRDefault="003E3DCD" w:rsidP="003E3DCD">
      <w:pPr>
        <w:rPr>
          <w:bCs/>
        </w:rPr>
      </w:pPr>
      <w:r w:rsidRPr="00A0572F">
        <w:rPr>
          <w:b/>
          <w:bCs/>
        </w:rPr>
        <w:t>Supported</w:t>
      </w:r>
      <w:r w:rsidR="00A706DF">
        <w:rPr>
          <w:b/>
          <w:bCs/>
        </w:rPr>
        <w:t xml:space="preserve"> in principle</w:t>
      </w:r>
    </w:p>
    <w:p w14:paraId="26CF6E7E" w14:textId="3AC659BE" w:rsidR="00B2211F" w:rsidRDefault="003E3DCD" w:rsidP="0047468D">
      <w:pPr>
        <w:spacing w:after="240"/>
      </w:pPr>
      <w:r w:rsidRPr="00A0572F">
        <w:t xml:space="preserve">The </w:t>
      </w:r>
      <w:r w:rsidR="00390CD1">
        <w:t xml:space="preserve">Australian </w:t>
      </w:r>
      <w:r>
        <w:t>Government</w:t>
      </w:r>
      <w:r w:rsidRPr="00A0572F">
        <w:t xml:space="preserve"> supports this recommendation </w:t>
      </w:r>
      <w:r w:rsidR="00F330C2">
        <w:t xml:space="preserve">in principle </w:t>
      </w:r>
      <w:r w:rsidRPr="00A0572F">
        <w:t>and acknowledges the importance of online resources being developed and made available to individuals and organisat</w:t>
      </w:r>
      <w:r w:rsidR="00B2211F">
        <w:t xml:space="preserve">ions. Advocacy groups play </w:t>
      </w:r>
      <w:r w:rsidRPr="00A0572F">
        <w:t xml:space="preserve">a significant role in this regard. </w:t>
      </w:r>
    </w:p>
    <w:p w14:paraId="757C45BF" w14:textId="373B6294" w:rsidR="005066EC" w:rsidRDefault="0030141D" w:rsidP="0047468D">
      <w:pPr>
        <w:spacing w:after="240"/>
      </w:pPr>
      <w:r w:rsidRPr="00CB6F8B">
        <w:t>The</w:t>
      </w:r>
      <w:r w:rsidR="003E3DCD" w:rsidRPr="00CB6F8B">
        <w:t xml:space="preserve"> I</w:t>
      </w:r>
      <w:r w:rsidRPr="00CB6F8B">
        <w:t xml:space="preserve">nformation </w:t>
      </w:r>
      <w:r w:rsidR="003E3DCD" w:rsidRPr="00CB6F8B">
        <w:t>L</w:t>
      </w:r>
      <w:r w:rsidRPr="00CB6F8B">
        <w:t xml:space="preserve">inkages and </w:t>
      </w:r>
      <w:r w:rsidR="003E3DCD" w:rsidRPr="00CB6F8B">
        <w:t>C</w:t>
      </w:r>
      <w:r w:rsidRPr="00CB6F8B">
        <w:t>apacity Building (ILC)</w:t>
      </w:r>
      <w:r w:rsidR="003E3DCD" w:rsidRPr="00CB6F8B">
        <w:t xml:space="preserve"> program predominately provides</w:t>
      </w:r>
      <w:r w:rsidR="003E3DCD" w:rsidRPr="00A0572F">
        <w:t xml:space="preserve"> funding to organisations through one off grants, awarded</w:t>
      </w:r>
      <w:r>
        <w:t xml:space="preserve"> through competitive rounds, to </w:t>
      </w:r>
      <w:r w:rsidR="003E3DCD" w:rsidRPr="00A0572F">
        <w:t xml:space="preserve">deliver projects in the community that benefit all Australians with disability. </w:t>
      </w:r>
      <w:r>
        <w:t>Funding is </w:t>
      </w:r>
      <w:r w:rsidR="002442A8">
        <w:t xml:space="preserve">not ongoing and organisations are expected to have plans in place to enable activities to be sustainable once grants cease. </w:t>
      </w:r>
    </w:p>
    <w:p w14:paraId="0B50F573" w14:textId="77777777" w:rsidR="009E27B7" w:rsidRDefault="009E27B7">
      <w:pPr>
        <w:spacing w:after="160" w:line="259" w:lineRule="auto"/>
      </w:pPr>
      <w:r>
        <w:br w:type="page"/>
      </w:r>
    </w:p>
    <w:p w14:paraId="40F3A4F9" w14:textId="3E598505" w:rsidR="006E0203" w:rsidRDefault="003E3DCD" w:rsidP="00342180">
      <w:r w:rsidRPr="00A0572F">
        <w:lastRenderedPageBreak/>
        <w:t xml:space="preserve">Grant rounds are administered according to the Commonwealth Grant Rules and Guidelines (CGRGs), made under the </w:t>
      </w:r>
      <w:r w:rsidRPr="00A0572F">
        <w:rPr>
          <w:i/>
          <w:iCs/>
        </w:rPr>
        <w:t>Public Governance, Performance and Accountability Act 2013</w:t>
      </w:r>
      <w:r w:rsidRPr="00A0572F">
        <w:t xml:space="preserve">. The </w:t>
      </w:r>
      <w:r w:rsidR="0051715B">
        <w:t>p</w:t>
      </w:r>
      <w:r w:rsidRPr="00A0572F">
        <w:t>robity principles of the CGRGs require all applicants to be treated in an open, fair and transparent manner. In keeping with this framework, all applications are to be received and processed in accordance with the relevant published Gr</w:t>
      </w:r>
      <w:r w:rsidR="00B2211F">
        <w:t xml:space="preserve">ant Opportunity Guidelines. </w:t>
      </w:r>
    </w:p>
    <w:p w14:paraId="726636A1" w14:textId="5D4E94F0" w:rsidR="00B2211F" w:rsidRPr="001B6B32" w:rsidRDefault="00B2211F" w:rsidP="0047468D">
      <w:pPr>
        <w:spacing w:after="240"/>
      </w:pPr>
      <w:r>
        <w:t>All </w:t>
      </w:r>
      <w:r w:rsidR="003E3DCD" w:rsidRPr="00A0572F">
        <w:t xml:space="preserve">eligible organisations, including </w:t>
      </w:r>
      <w:r w:rsidR="003E3DCD">
        <w:t>a</w:t>
      </w:r>
      <w:r w:rsidR="003E3DCD" w:rsidRPr="00A0572F">
        <w:t>utism-specific educa</w:t>
      </w:r>
      <w:r w:rsidR="00697D39">
        <w:t>tion and advocacy groups, would </w:t>
      </w:r>
      <w:r w:rsidR="003E3DCD" w:rsidRPr="00A0572F">
        <w:t>be open to apply for any available grant round</w:t>
      </w:r>
      <w:r w:rsidR="00D46CE4">
        <w:t>.</w:t>
      </w:r>
    </w:p>
    <w:p w14:paraId="224AD056" w14:textId="2B3F3406" w:rsidR="00FE31DC" w:rsidRPr="00FE31DC" w:rsidRDefault="00936EE5" w:rsidP="00A12901">
      <w:pPr>
        <w:pStyle w:val="Heading2"/>
      </w:pPr>
      <w:r w:rsidRPr="00FE31DC">
        <w:t>Supports and services for specialised groups</w:t>
      </w:r>
    </w:p>
    <w:tbl>
      <w:tblPr>
        <w:tblStyle w:val="TableGrid"/>
        <w:tblW w:w="0" w:type="auto"/>
        <w:tblLook w:val="04A0" w:firstRow="1" w:lastRow="0" w:firstColumn="1" w:lastColumn="0" w:noHBand="0" w:noVBand="1"/>
        <w:tblDescription w:val="Decorative"/>
      </w:tblPr>
      <w:tblGrid>
        <w:gridCol w:w="9016"/>
      </w:tblGrid>
      <w:tr w:rsidR="00FE31DC" w14:paraId="192AB177" w14:textId="77777777" w:rsidTr="00FE31DC">
        <w:tc>
          <w:tcPr>
            <w:tcW w:w="9016" w:type="dxa"/>
          </w:tcPr>
          <w:p w14:paraId="45BF99CE" w14:textId="77777777" w:rsidR="00FE31DC" w:rsidRPr="00FE31DC" w:rsidRDefault="00FE31DC" w:rsidP="00FE31DC">
            <w:pPr>
              <w:spacing w:line="276" w:lineRule="auto"/>
              <w:jc w:val="both"/>
              <w:rPr>
                <w:b/>
              </w:rPr>
            </w:pPr>
            <w:r w:rsidRPr="00FE31DC">
              <w:rPr>
                <w:b/>
              </w:rPr>
              <w:t>Recommendation 18</w:t>
            </w:r>
          </w:p>
          <w:p w14:paraId="627C48A7" w14:textId="77777777" w:rsidR="00FE31DC" w:rsidRPr="003E1731" w:rsidRDefault="00FE31DC" w:rsidP="00FE31DC">
            <w:pPr>
              <w:widowControl w:val="0"/>
              <w:tabs>
                <w:tab w:val="left" w:pos="744"/>
              </w:tabs>
              <w:autoSpaceDE w:val="0"/>
              <w:autoSpaceDN w:val="0"/>
              <w:spacing w:before="61"/>
              <w:ind w:right="717"/>
            </w:pPr>
            <w:r w:rsidRPr="003E1731">
              <w:t>The committee recommends that the National Autism Strategy include a focus on meeting the needs of all autistic people. This should include a particular focus on the provision of adequate and appropriate services for autistic adults, women and girls, as well as disadvantaged and vulnerable cohorts of autistic people such</w:t>
            </w:r>
            <w:r w:rsidRPr="003E1731">
              <w:rPr>
                <w:spacing w:val="-4"/>
              </w:rPr>
              <w:t xml:space="preserve"> </w:t>
            </w:r>
            <w:r w:rsidRPr="003E1731">
              <w:t>as:</w:t>
            </w:r>
          </w:p>
          <w:p w14:paraId="54FC202F" w14:textId="77777777" w:rsidR="00FE31DC" w:rsidRPr="003E1731" w:rsidRDefault="00FE31DC" w:rsidP="00FE31DC">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people from lower socio-economic backgrounds;</w:t>
            </w:r>
          </w:p>
          <w:p w14:paraId="676B8C08" w14:textId="77777777" w:rsidR="00FE31DC" w:rsidRPr="003E1731" w:rsidRDefault="00FE31DC" w:rsidP="00FE31DC">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people in regional and remote locations;</w:t>
            </w:r>
          </w:p>
          <w:p w14:paraId="23E7EA65" w14:textId="77777777" w:rsidR="00FE31DC" w:rsidRPr="003E1731" w:rsidRDefault="00FE31DC" w:rsidP="00FE31DC">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First Nations people;</w:t>
            </w:r>
          </w:p>
          <w:p w14:paraId="1317F637" w14:textId="77777777" w:rsidR="00FE31DC" w:rsidRPr="003E1731" w:rsidRDefault="00FE31DC" w:rsidP="00FE31DC">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people from culturally and linguistically diverse backgrounds;</w:t>
            </w:r>
          </w:p>
          <w:p w14:paraId="45F75A46" w14:textId="77777777" w:rsidR="00FE31DC" w:rsidRDefault="00FE31DC" w:rsidP="00FE31DC">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gender diverse and non-heterosexual people; and</w:t>
            </w:r>
          </w:p>
          <w:p w14:paraId="15FCAAA1" w14:textId="7C578E34" w:rsidR="00FE31DC" w:rsidRPr="00FE31DC" w:rsidRDefault="00FE31DC" w:rsidP="00FE31DC">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people with complex needs.</w:t>
            </w:r>
          </w:p>
        </w:tc>
      </w:tr>
    </w:tbl>
    <w:p w14:paraId="33E003F7" w14:textId="62B47D5B" w:rsidR="009841E1" w:rsidRPr="001B6B32" w:rsidRDefault="009841E1" w:rsidP="00CA629D">
      <w:pPr>
        <w:rPr>
          <w:bCs/>
          <w:highlight w:val="yellow"/>
          <w:lang w:eastAsia="en-AU"/>
        </w:rPr>
      </w:pPr>
    </w:p>
    <w:p w14:paraId="678F485F" w14:textId="30CDF16B" w:rsidR="00DA174F" w:rsidRPr="00DA174F" w:rsidRDefault="00AF3C28" w:rsidP="00DA174F">
      <w:pPr>
        <w:rPr>
          <w:b/>
          <w:sz w:val="20"/>
          <w:szCs w:val="20"/>
        </w:rPr>
      </w:pPr>
      <w:r>
        <w:rPr>
          <w:b/>
        </w:rPr>
        <w:t>Supported</w:t>
      </w:r>
    </w:p>
    <w:p w14:paraId="771E1F66" w14:textId="33B0DBFE" w:rsidR="006E40E2" w:rsidRPr="0047468D" w:rsidRDefault="004F3666" w:rsidP="0047468D">
      <w:pPr>
        <w:spacing w:after="240"/>
      </w:pPr>
      <w:r>
        <w:t xml:space="preserve">The </w:t>
      </w:r>
      <w:r w:rsidR="00452B91">
        <w:t xml:space="preserve">Australian </w:t>
      </w:r>
      <w:r w:rsidR="00DA174F">
        <w:t xml:space="preserve">Government agrees </w:t>
      </w:r>
      <w:r w:rsidR="009841E1">
        <w:t xml:space="preserve">a National Autism </w:t>
      </w:r>
      <w:r w:rsidR="00DA174F">
        <w:t xml:space="preserve">Strategy should include a </w:t>
      </w:r>
      <w:r>
        <w:t xml:space="preserve">particular </w:t>
      </w:r>
      <w:r w:rsidR="00DA174F">
        <w:t xml:space="preserve">focus on </w:t>
      </w:r>
      <w:r>
        <w:t xml:space="preserve">meeting the needs of all autistic people, including </w:t>
      </w:r>
      <w:r w:rsidR="00DA174F">
        <w:t xml:space="preserve">autistic adults, women and girls, as well as disadvantaged and </w:t>
      </w:r>
      <w:r w:rsidR="00CC1B0B">
        <w:t>priority</w:t>
      </w:r>
      <w:r w:rsidR="00DA174F">
        <w:t xml:space="preserve"> cohorts. This will inclu</w:t>
      </w:r>
      <w:r w:rsidR="006538C7">
        <w:t>de identifying opportunities to </w:t>
      </w:r>
      <w:r w:rsidR="00DA174F">
        <w:t xml:space="preserve">tailor approaches to assist </w:t>
      </w:r>
      <w:r w:rsidR="00661EB3">
        <w:t xml:space="preserve">autistic </w:t>
      </w:r>
      <w:r w:rsidR="00DA174F">
        <w:t>people</w:t>
      </w:r>
      <w:r w:rsidR="00661EB3">
        <w:t xml:space="preserve"> </w:t>
      </w:r>
      <w:r w:rsidR="00DA174F">
        <w:t>who face intersectional barriers.</w:t>
      </w:r>
      <w:r w:rsidR="006538C7">
        <w:t xml:space="preserve"> Through </w:t>
      </w:r>
      <w:r w:rsidR="00CC1B0B">
        <w:t>adopting a focus on intersectionality, this would ensure a stronger focus on the intersecting and often reinforcing experiences of autistic people more broadly.</w:t>
      </w:r>
    </w:p>
    <w:p w14:paraId="44EFCE59" w14:textId="287DD1D6" w:rsidR="003E3DCD" w:rsidRPr="0047468D" w:rsidRDefault="00BC2FFD" w:rsidP="0047468D">
      <w:pPr>
        <w:spacing w:after="240"/>
        <w:rPr>
          <w:rFonts w:ascii="Calibri" w:hAnsi="Calibri" w:cs="Calibri"/>
          <w:color w:val="6B2976"/>
        </w:rPr>
      </w:pPr>
      <w:r>
        <w:t>Development of</w:t>
      </w:r>
      <w:r w:rsidR="006E40E2" w:rsidRPr="006E40E2">
        <w:t xml:space="preserve"> </w:t>
      </w:r>
      <w:r w:rsidR="000B6EA4">
        <w:t>a National</w:t>
      </w:r>
      <w:r w:rsidR="006E40E2" w:rsidRPr="006E40E2">
        <w:t xml:space="preserve"> Autism Strategy </w:t>
      </w:r>
      <w:r w:rsidR="00AF3C28">
        <w:t>should</w:t>
      </w:r>
      <w:r>
        <w:t xml:space="preserve"> also </w:t>
      </w:r>
      <w:r w:rsidR="006E40E2" w:rsidRPr="006E40E2">
        <w:t>co</w:t>
      </w:r>
      <w:r>
        <w:t>nsider</w:t>
      </w:r>
      <w:r w:rsidR="006E40E2" w:rsidRPr="006E40E2">
        <w:t xml:space="preserve"> NDIS strategies that guide the NDIA’s work in supporting NDIS participants. These strategies, which include the C</w:t>
      </w:r>
      <w:r w:rsidR="000B6EA4">
        <w:t>ulturally and Linguistically Diverse</w:t>
      </w:r>
      <w:r w:rsidR="006E40E2" w:rsidRPr="006E40E2">
        <w:t>, Aboriginal and To</w:t>
      </w:r>
      <w:r w:rsidR="00126482">
        <w:t>rres Strait Islander, Rural and </w:t>
      </w:r>
      <w:r w:rsidR="006E40E2" w:rsidRPr="006E40E2">
        <w:t>Remote</w:t>
      </w:r>
      <w:r w:rsidR="00126482">
        <w:t>,</w:t>
      </w:r>
      <w:r w:rsidR="006E40E2" w:rsidRPr="006E40E2">
        <w:t xml:space="preserve"> and LGBTIQA+ strategies, are expected to b</w:t>
      </w:r>
      <w:r w:rsidR="00AF3C28">
        <w:t>e reviewed and refreshed from 2022</w:t>
      </w:r>
      <w:r w:rsidR="00AF3C28">
        <w:noBreakHyphen/>
      </w:r>
      <w:r w:rsidR="006E40E2" w:rsidRPr="006E40E2">
        <w:t xml:space="preserve">2023. The NDIA will ensure the reviews of these strategies align with work </w:t>
      </w:r>
      <w:r w:rsidR="00126482">
        <w:t>to </w:t>
      </w:r>
      <w:r w:rsidR="00D02173">
        <w:t>develop a National</w:t>
      </w:r>
      <w:r w:rsidR="006E40E2" w:rsidRPr="006E40E2">
        <w:t xml:space="preserve"> Autism Strategy</w:t>
      </w:r>
      <w:r w:rsidR="00AF3C28">
        <w:rPr>
          <w:rFonts w:ascii="Calibri" w:hAnsi="Calibri" w:cs="Calibri"/>
          <w:color w:val="6B2976"/>
        </w:rPr>
        <w:t>.</w:t>
      </w:r>
    </w:p>
    <w:tbl>
      <w:tblPr>
        <w:tblStyle w:val="TableGrid"/>
        <w:tblW w:w="0" w:type="auto"/>
        <w:tblLook w:val="04A0" w:firstRow="1" w:lastRow="0" w:firstColumn="1" w:lastColumn="0" w:noHBand="0" w:noVBand="1"/>
        <w:tblDescription w:val="Decorative"/>
      </w:tblPr>
      <w:tblGrid>
        <w:gridCol w:w="9016"/>
      </w:tblGrid>
      <w:tr w:rsidR="00C860D3" w14:paraId="41AEF8E2" w14:textId="77777777" w:rsidTr="00C860D3">
        <w:tc>
          <w:tcPr>
            <w:tcW w:w="9016" w:type="dxa"/>
          </w:tcPr>
          <w:p w14:paraId="718124E4" w14:textId="77777777" w:rsidR="00C860D3" w:rsidRPr="00C860D3" w:rsidRDefault="00C860D3" w:rsidP="00C860D3">
            <w:pPr>
              <w:spacing w:line="276" w:lineRule="auto"/>
              <w:ind w:left="29"/>
              <w:jc w:val="both"/>
              <w:rPr>
                <w:b/>
              </w:rPr>
            </w:pPr>
            <w:r w:rsidRPr="00C860D3">
              <w:rPr>
                <w:b/>
              </w:rPr>
              <w:t>Recommendation 19</w:t>
            </w:r>
          </w:p>
          <w:p w14:paraId="48FA3423" w14:textId="1E5BAFD3" w:rsidR="005127ED" w:rsidRPr="005127ED" w:rsidRDefault="00C860D3" w:rsidP="00C860D3">
            <w:pPr>
              <w:tabs>
                <w:tab w:val="left" w:pos="1210"/>
              </w:tabs>
            </w:pPr>
            <w:r w:rsidRPr="003E1731">
              <w:t>The committee recommends that the National Autism Strategy include specific actions to improve access to services in regional and remote areas. This should include options for remote service delivery (such as telehealth), as well as working with relevant medical colleges and professional bodies to increase the supply and retention of clinicians and allied health professionals available to work in regional and remote locations.</w:t>
            </w:r>
          </w:p>
        </w:tc>
      </w:tr>
    </w:tbl>
    <w:p w14:paraId="49668BF4" w14:textId="77777777" w:rsidR="00C860D3" w:rsidRPr="001B6B32" w:rsidRDefault="00C860D3" w:rsidP="00400799">
      <w:pPr>
        <w:tabs>
          <w:tab w:val="left" w:pos="1210"/>
        </w:tabs>
      </w:pPr>
    </w:p>
    <w:p w14:paraId="07478E8A" w14:textId="53AFA3DD" w:rsidR="00753CDD" w:rsidRPr="00A33AA8" w:rsidRDefault="00753CDD" w:rsidP="00753CDD">
      <w:r w:rsidRPr="00A33AA8">
        <w:rPr>
          <w:b/>
        </w:rPr>
        <w:t>Support</w:t>
      </w:r>
      <w:r w:rsidR="00585844">
        <w:rPr>
          <w:b/>
        </w:rPr>
        <w:t>ed</w:t>
      </w:r>
      <w:r w:rsidRPr="00A33AA8">
        <w:rPr>
          <w:b/>
        </w:rPr>
        <w:t xml:space="preserve"> in principle</w:t>
      </w:r>
    </w:p>
    <w:p w14:paraId="5F3403E5" w14:textId="6C6369BA" w:rsidR="00753CDD" w:rsidRDefault="00753CDD" w:rsidP="00753CDD">
      <w:r>
        <w:t xml:space="preserve">The inclusion of </w:t>
      </w:r>
      <w:r w:rsidR="00E25438">
        <w:t xml:space="preserve">specific actions to improve access to services in regional and remote areas </w:t>
      </w:r>
      <w:r w:rsidR="003C1B77">
        <w:t xml:space="preserve">for all </w:t>
      </w:r>
      <w:r w:rsidR="000E3CC2">
        <w:t>autistic people</w:t>
      </w:r>
      <w:r w:rsidR="00D507DE">
        <w:t>, both inside and outside the NDIS,</w:t>
      </w:r>
      <w:r w:rsidR="003C1B77">
        <w:t xml:space="preserve"> </w:t>
      </w:r>
      <w:r>
        <w:t>will be considered in the d</w:t>
      </w:r>
      <w:r w:rsidR="00F42F5F">
        <w:t>evelopment of a National Autism </w:t>
      </w:r>
      <w:r>
        <w:t xml:space="preserve">Strategy. </w:t>
      </w:r>
    </w:p>
    <w:p w14:paraId="59D471B9" w14:textId="2F5BDE78" w:rsidR="001B6B32" w:rsidRDefault="001B6B32">
      <w:pPr>
        <w:spacing w:after="160" w:line="259" w:lineRule="auto"/>
      </w:pPr>
      <w:r>
        <w:br w:type="page"/>
      </w:r>
    </w:p>
    <w:p w14:paraId="3639DD07" w14:textId="18BE7866" w:rsidR="00FF7B7A" w:rsidRDefault="00FF7B7A" w:rsidP="0047468D">
      <w:pPr>
        <w:spacing w:after="240"/>
      </w:pPr>
      <w:r w:rsidRPr="00FF7B7A">
        <w:lastRenderedPageBreak/>
        <w:t>Providing services to people in remote and very remote areas is a whole</w:t>
      </w:r>
      <w:r w:rsidR="001D6382">
        <w:t>-</w:t>
      </w:r>
      <w:r w:rsidRPr="00FF7B7A">
        <w:t>of</w:t>
      </w:r>
      <w:r w:rsidR="001D6382">
        <w:t>-</w:t>
      </w:r>
      <w:r w:rsidRPr="00FF7B7A">
        <w:t>government challenge,</w:t>
      </w:r>
      <w:r w:rsidR="00C95787">
        <w:t xml:space="preserve"> as there are broader systemic challenges facing these </w:t>
      </w:r>
      <w:r w:rsidRPr="00FF7B7A">
        <w:t xml:space="preserve">more isolated communities. Consultations and feedback from other agencies and trial sites have recognised some of the unique circumstances which may be driving this disparity. </w:t>
      </w:r>
    </w:p>
    <w:p w14:paraId="3F3ABA3A" w14:textId="58A02DD1" w:rsidR="001C35BF" w:rsidRPr="0047468D" w:rsidRDefault="003D55FF" w:rsidP="0047468D">
      <w:pPr>
        <w:spacing w:after="240"/>
      </w:pPr>
      <w:r>
        <w:t xml:space="preserve">The Closing the Gap Disability Sector Strengthening Plan </w:t>
      </w:r>
      <w:r w:rsidR="000E3CC2">
        <w:t xml:space="preserve">(the Plan) </w:t>
      </w:r>
      <w:r w:rsidR="00C460E7">
        <w:t xml:space="preserve">seeks to </w:t>
      </w:r>
      <w:r w:rsidR="000E3CC2">
        <w:rPr>
          <w:color w:val="000000"/>
        </w:rPr>
        <w:t>provide a </w:t>
      </w:r>
      <w:r>
        <w:rPr>
          <w:color w:val="000000"/>
        </w:rPr>
        <w:t>framework for all levels of government to strengthen the community-controlled disability sector and ensure better access to services. The Plan has a</w:t>
      </w:r>
      <w:r w:rsidR="000E3CC2">
        <w:rPr>
          <w:color w:val="000000"/>
        </w:rPr>
        <w:t xml:space="preserve"> strong focus on and support of </w:t>
      </w:r>
      <w:r>
        <w:rPr>
          <w:color w:val="000000"/>
        </w:rPr>
        <w:t>First Nations people with disability living in regional, remote and very remote areas. Jurisdictions’ Implementation Plans will include actions to imple</w:t>
      </w:r>
      <w:r w:rsidR="000E3CC2">
        <w:rPr>
          <w:color w:val="000000"/>
        </w:rPr>
        <w:t>ment this Plan. The National </w:t>
      </w:r>
      <w:r>
        <w:rPr>
          <w:color w:val="000000"/>
        </w:rPr>
        <w:t>Autism Strategy will also align with the Plan.</w:t>
      </w:r>
    </w:p>
    <w:tbl>
      <w:tblPr>
        <w:tblStyle w:val="TableGrid"/>
        <w:tblW w:w="0" w:type="auto"/>
        <w:tblLook w:val="04A0" w:firstRow="1" w:lastRow="0" w:firstColumn="1" w:lastColumn="0" w:noHBand="0" w:noVBand="1"/>
        <w:tblDescription w:val="Decorative"/>
      </w:tblPr>
      <w:tblGrid>
        <w:gridCol w:w="9016"/>
      </w:tblGrid>
      <w:tr w:rsidR="00CF0E02" w14:paraId="0E5E5E79" w14:textId="77777777" w:rsidTr="00CF0E02">
        <w:tc>
          <w:tcPr>
            <w:tcW w:w="9016" w:type="dxa"/>
          </w:tcPr>
          <w:p w14:paraId="168AD3D3" w14:textId="77777777" w:rsidR="00CF0E02" w:rsidRPr="00CF0E02" w:rsidRDefault="00CF0E02" w:rsidP="00CF0E02">
            <w:pPr>
              <w:spacing w:line="276" w:lineRule="auto"/>
              <w:jc w:val="both"/>
              <w:rPr>
                <w:b/>
              </w:rPr>
            </w:pPr>
            <w:r w:rsidRPr="00CF0E02">
              <w:rPr>
                <w:b/>
              </w:rPr>
              <w:t>Recommendation 20</w:t>
            </w:r>
          </w:p>
          <w:p w14:paraId="66ECF814" w14:textId="77777777" w:rsidR="00CF0E02" w:rsidRDefault="00CF0E02" w:rsidP="00CF0E02">
            <w:pPr>
              <w:widowControl w:val="0"/>
              <w:tabs>
                <w:tab w:val="left" w:pos="454"/>
              </w:tabs>
              <w:autoSpaceDE w:val="0"/>
              <w:autoSpaceDN w:val="0"/>
              <w:spacing w:before="60"/>
              <w:ind w:right="718"/>
            </w:pPr>
            <w:r w:rsidRPr="003E1731">
              <w:t>The committee recommends that the National Autism Strategy include specific actions to improve access to serv</w:t>
            </w:r>
            <w:r>
              <w:t>ices for First Nations peoples.</w:t>
            </w:r>
            <w:r w:rsidRPr="003E1731">
              <w:t xml:space="preserve"> This should include building the capacity of Aboriginal Community Controlled Health Organisations to deliver autism services in First Nations communities, as well as trialling the use of alternative care models, such as those in place to support individuals with Foetal Alcohol Spectrum Disorders.</w:t>
            </w:r>
          </w:p>
          <w:p w14:paraId="2BF5FA79" w14:textId="77777777" w:rsidR="00CF0E02" w:rsidRDefault="00CF0E02" w:rsidP="00CF0E02">
            <w:pPr>
              <w:widowControl w:val="0"/>
              <w:tabs>
                <w:tab w:val="left" w:pos="454"/>
              </w:tabs>
              <w:autoSpaceDE w:val="0"/>
              <w:autoSpaceDN w:val="0"/>
              <w:spacing w:before="60"/>
              <w:ind w:right="718"/>
            </w:pPr>
          </w:p>
          <w:p w14:paraId="0514E9EA" w14:textId="1696BA51" w:rsidR="00CF0E02" w:rsidRDefault="00CF0E02" w:rsidP="00CF0E02">
            <w:pPr>
              <w:rPr>
                <w:b/>
              </w:rPr>
            </w:pPr>
            <w:r w:rsidRPr="003E1731">
              <w:t>In addition, the taskforce established to develop the National Autism Strategy should include First Nations representation.</w:t>
            </w:r>
          </w:p>
        </w:tc>
      </w:tr>
    </w:tbl>
    <w:p w14:paraId="22564FE3" w14:textId="77777777" w:rsidR="00CF0E02" w:rsidRPr="001B6B32" w:rsidRDefault="00CF0E02" w:rsidP="00CA629D"/>
    <w:p w14:paraId="47067BDE" w14:textId="38F1765B" w:rsidR="00CA629D" w:rsidRPr="00CA629D" w:rsidRDefault="00CA629D" w:rsidP="00CA629D">
      <w:pPr>
        <w:rPr>
          <w:b/>
          <w:sz w:val="22"/>
          <w:szCs w:val="22"/>
        </w:rPr>
      </w:pPr>
      <w:r>
        <w:rPr>
          <w:b/>
        </w:rPr>
        <w:t>Support</w:t>
      </w:r>
      <w:r w:rsidR="00585844">
        <w:rPr>
          <w:b/>
        </w:rPr>
        <w:t>ed</w:t>
      </w:r>
    </w:p>
    <w:p w14:paraId="1D6A666A" w14:textId="7EABAF36" w:rsidR="00BB08CD" w:rsidRDefault="00CA629D" w:rsidP="003E0AB4">
      <w:pPr>
        <w:spacing w:after="240"/>
      </w:pPr>
      <w:r w:rsidRPr="00CA629D">
        <w:rPr>
          <w:color w:val="000000"/>
        </w:rPr>
        <w:t>The</w:t>
      </w:r>
      <w:r w:rsidR="00452B91">
        <w:rPr>
          <w:color w:val="000000"/>
        </w:rPr>
        <w:t xml:space="preserve"> Australian</w:t>
      </w:r>
      <w:r w:rsidRPr="00CA629D">
        <w:rPr>
          <w:color w:val="000000"/>
        </w:rPr>
        <w:t xml:space="preserve"> </w:t>
      </w:r>
      <w:r w:rsidR="00E25438">
        <w:rPr>
          <w:color w:val="000000"/>
        </w:rPr>
        <w:t>Government</w:t>
      </w:r>
      <w:r w:rsidRPr="00CA629D">
        <w:rPr>
          <w:color w:val="000000"/>
        </w:rPr>
        <w:t xml:space="preserve"> supports</w:t>
      </w:r>
      <w:r w:rsidR="00C55D16">
        <w:rPr>
          <w:color w:val="000000"/>
        </w:rPr>
        <w:t xml:space="preserve"> this recommendation</w:t>
      </w:r>
      <w:r w:rsidRPr="00CA629D">
        <w:rPr>
          <w:color w:val="000000"/>
        </w:rPr>
        <w:t>.</w:t>
      </w:r>
      <w:r w:rsidR="00BB08CD">
        <w:rPr>
          <w:color w:val="000000"/>
        </w:rPr>
        <w:t xml:space="preserve"> </w:t>
      </w:r>
      <w:r w:rsidR="00BB08CD" w:rsidRPr="00585844">
        <w:t xml:space="preserve">Representation of First Nations people with disability </w:t>
      </w:r>
      <w:r w:rsidR="00BB08CD">
        <w:t>to support the development and implementation of</w:t>
      </w:r>
      <w:r w:rsidR="006D66A0">
        <w:t> a National Autism </w:t>
      </w:r>
      <w:r w:rsidR="00BB08CD">
        <w:t xml:space="preserve">Strategy </w:t>
      </w:r>
      <w:r w:rsidR="007577DB">
        <w:t>will</w:t>
      </w:r>
      <w:r w:rsidR="00BB08CD" w:rsidRPr="00585844">
        <w:t xml:space="preserve"> be meaningful, gender sensitive, culturally appropriate and determined in consultation with key stakeholders, inclu</w:t>
      </w:r>
      <w:r w:rsidR="00BB08CD">
        <w:t xml:space="preserve">ding but not limited to the </w:t>
      </w:r>
      <w:r w:rsidR="006D66A0">
        <w:rPr>
          <w:color w:val="000000"/>
        </w:rPr>
        <w:t>First </w:t>
      </w:r>
      <w:r w:rsidR="00BB08CD" w:rsidRPr="00CA629D">
        <w:rPr>
          <w:color w:val="000000"/>
        </w:rPr>
        <w:t>Peoples Dis</w:t>
      </w:r>
      <w:r w:rsidR="00BB08CD">
        <w:rPr>
          <w:color w:val="000000"/>
        </w:rPr>
        <w:t>ability Network (FPDN)</w:t>
      </w:r>
      <w:r w:rsidR="00BB08CD" w:rsidRPr="00585844">
        <w:t>.</w:t>
      </w:r>
    </w:p>
    <w:p w14:paraId="4932115F" w14:textId="42800245" w:rsidR="006A1CA5" w:rsidRPr="003E0AB4" w:rsidRDefault="00585844" w:rsidP="003E0AB4">
      <w:pPr>
        <w:spacing w:after="240"/>
        <w:rPr>
          <w:color w:val="000000"/>
        </w:rPr>
      </w:pPr>
      <w:r>
        <w:rPr>
          <w:color w:val="000000"/>
        </w:rPr>
        <w:t>The Australian </w:t>
      </w:r>
      <w:r w:rsidR="00E25438">
        <w:rPr>
          <w:color w:val="000000"/>
        </w:rPr>
        <w:t>Government</w:t>
      </w:r>
      <w:r w:rsidR="00CA629D" w:rsidRPr="00CA629D">
        <w:rPr>
          <w:color w:val="000000"/>
        </w:rPr>
        <w:t xml:space="preserve"> </w:t>
      </w:r>
      <w:r w:rsidR="002629A5">
        <w:rPr>
          <w:color w:val="000000"/>
        </w:rPr>
        <w:t>will</w:t>
      </w:r>
      <w:r w:rsidR="002629A5" w:rsidRPr="00CA629D">
        <w:rPr>
          <w:color w:val="000000"/>
        </w:rPr>
        <w:t xml:space="preserve"> </w:t>
      </w:r>
      <w:r w:rsidR="00692CFA">
        <w:rPr>
          <w:color w:val="000000"/>
        </w:rPr>
        <w:t xml:space="preserve">implement </w:t>
      </w:r>
      <w:r w:rsidR="00752D43">
        <w:rPr>
          <w:color w:val="000000"/>
        </w:rPr>
        <w:t>this recommendation</w:t>
      </w:r>
      <w:r w:rsidR="00CA629D" w:rsidRPr="00CA629D">
        <w:rPr>
          <w:color w:val="000000"/>
        </w:rPr>
        <w:t xml:space="preserve"> by adopting a social model of disability </w:t>
      </w:r>
      <w:r w:rsidR="00CA629D" w:rsidRPr="00692CFA">
        <w:rPr>
          <w:color w:val="000000"/>
        </w:rPr>
        <w:t>as well as a cultural model of inclusion</w:t>
      </w:r>
      <w:r w:rsidR="006D66A0">
        <w:rPr>
          <w:color w:val="000000"/>
        </w:rPr>
        <w:t xml:space="preserve">, aligning with </w:t>
      </w:r>
      <w:r w:rsidR="00CA629D" w:rsidRPr="00692CFA">
        <w:rPr>
          <w:color w:val="000000"/>
        </w:rPr>
        <w:t>Australia’s Disability Strategy and the Closing the Gap Disability Sector St</w:t>
      </w:r>
      <w:r>
        <w:rPr>
          <w:color w:val="000000"/>
        </w:rPr>
        <w:t>rengthening Plan (DSSP). This w</w:t>
      </w:r>
      <w:r w:rsidR="00CA629D" w:rsidRPr="00CA629D">
        <w:rPr>
          <w:color w:val="000000"/>
        </w:rPr>
        <w:t xml:space="preserve">ill allow services provided by </w:t>
      </w:r>
      <w:r w:rsidR="007577DB">
        <w:rPr>
          <w:color w:val="000000"/>
        </w:rPr>
        <w:t xml:space="preserve">Aboriginal Community Controlled Organisations (ACCOs) and </w:t>
      </w:r>
      <w:r w:rsidRPr="00CA629D">
        <w:rPr>
          <w:color w:val="000000"/>
        </w:rPr>
        <w:t>A</w:t>
      </w:r>
      <w:r>
        <w:rPr>
          <w:color w:val="000000"/>
        </w:rPr>
        <w:t xml:space="preserve">boriginal </w:t>
      </w:r>
      <w:r w:rsidRPr="00CA629D">
        <w:rPr>
          <w:color w:val="000000"/>
        </w:rPr>
        <w:t>C</w:t>
      </w:r>
      <w:r>
        <w:rPr>
          <w:color w:val="000000"/>
        </w:rPr>
        <w:t xml:space="preserve">ommunity </w:t>
      </w:r>
      <w:r w:rsidRPr="00CA629D">
        <w:rPr>
          <w:color w:val="000000"/>
        </w:rPr>
        <w:t>C</w:t>
      </w:r>
      <w:r>
        <w:rPr>
          <w:color w:val="000000"/>
        </w:rPr>
        <w:t xml:space="preserve">ontrolled </w:t>
      </w:r>
      <w:r w:rsidRPr="00CA629D">
        <w:rPr>
          <w:color w:val="000000"/>
        </w:rPr>
        <w:t>H</w:t>
      </w:r>
      <w:r>
        <w:rPr>
          <w:color w:val="000000"/>
        </w:rPr>
        <w:t xml:space="preserve">ealth </w:t>
      </w:r>
      <w:r w:rsidRPr="00CA629D">
        <w:rPr>
          <w:color w:val="000000"/>
        </w:rPr>
        <w:t>O</w:t>
      </w:r>
      <w:r>
        <w:rPr>
          <w:color w:val="000000"/>
        </w:rPr>
        <w:t>rganisation</w:t>
      </w:r>
      <w:r w:rsidRPr="00CA629D">
        <w:rPr>
          <w:color w:val="000000"/>
        </w:rPr>
        <w:t>s</w:t>
      </w:r>
      <w:r>
        <w:rPr>
          <w:color w:val="000000"/>
        </w:rPr>
        <w:t xml:space="preserve"> (</w:t>
      </w:r>
      <w:r w:rsidR="00CA629D" w:rsidRPr="00CA629D">
        <w:rPr>
          <w:color w:val="000000"/>
        </w:rPr>
        <w:t>ACCHOs</w:t>
      </w:r>
      <w:r>
        <w:rPr>
          <w:color w:val="000000"/>
        </w:rPr>
        <w:t>)</w:t>
      </w:r>
      <w:r w:rsidR="00CA629D" w:rsidRPr="00CA629D">
        <w:rPr>
          <w:color w:val="000000"/>
        </w:rPr>
        <w:t xml:space="preserve"> to be more reflective of the lived experience, unique needs and inherent strengths and capacities of First Nations people with disability, their families and broader communities.</w:t>
      </w:r>
    </w:p>
    <w:p w14:paraId="30700F3B" w14:textId="45D96487" w:rsidR="00CA629D" w:rsidRPr="003E0AB4" w:rsidRDefault="00C44B6E" w:rsidP="003E0AB4">
      <w:pPr>
        <w:spacing w:after="240"/>
        <w:rPr>
          <w:color w:val="000000"/>
        </w:rPr>
      </w:pPr>
      <w:r>
        <w:rPr>
          <w:color w:val="000000"/>
        </w:rPr>
        <w:t>The</w:t>
      </w:r>
      <w:r w:rsidR="00CA629D" w:rsidRPr="00CA629D">
        <w:rPr>
          <w:color w:val="000000"/>
        </w:rPr>
        <w:t xml:space="preserve"> DSSP </w:t>
      </w:r>
      <w:r>
        <w:rPr>
          <w:color w:val="000000"/>
        </w:rPr>
        <w:t xml:space="preserve">was co-designed </w:t>
      </w:r>
      <w:r w:rsidR="00CA629D" w:rsidRPr="00CA629D">
        <w:rPr>
          <w:color w:val="000000"/>
        </w:rPr>
        <w:t>with th</w:t>
      </w:r>
      <w:r w:rsidR="00BB08CD">
        <w:rPr>
          <w:color w:val="000000"/>
        </w:rPr>
        <w:t xml:space="preserve">e FPDN </w:t>
      </w:r>
      <w:r>
        <w:rPr>
          <w:color w:val="000000"/>
        </w:rPr>
        <w:t>and provides</w:t>
      </w:r>
      <w:r w:rsidR="00CA629D" w:rsidRPr="00CA629D">
        <w:rPr>
          <w:color w:val="000000"/>
        </w:rPr>
        <w:t xml:space="preserve"> a</w:t>
      </w:r>
      <w:r>
        <w:rPr>
          <w:color w:val="000000"/>
        </w:rPr>
        <w:t> </w:t>
      </w:r>
      <w:r w:rsidR="00E25438">
        <w:rPr>
          <w:color w:val="000000"/>
        </w:rPr>
        <w:t>N</w:t>
      </w:r>
      <w:r w:rsidR="00CA629D" w:rsidRPr="00CA629D">
        <w:rPr>
          <w:color w:val="000000"/>
        </w:rPr>
        <w:t xml:space="preserve">ational </w:t>
      </w:r>
      <w:r w:rsidR="00E25438">
        <w:rPr>
          <w:color w:val="000000"/>
        </w:rPr>
        <w:t>F</w:t>
      </w:r>
      <w:r>
        <w:rPr>
          <w:color w:val="000000"/>
        </w:rPr>
        <w:t>ramework and</w:t>
      </w:r>
      <w:r w:rsidR="00CA629D" w:rsidRPr="00CA629D">
        <w:rPr>
          <w:color w:val="000000"/>
        </w:rPr>
        <w:t xml:space="preserve"> key guidance to all levels of government for strengthening the community controlled sector and services available to First Nations people with disability</w:t>
      </w:r>
      <w:r w:rsidR="003D55FF">
        <w:rPr>
          <w:color w:val="000000"/>
        </w:rPr>
        <w:t>, with a strong focus on and support of First Nations people with disability living in regional, remote and very remote areas</w:t>
      </w:r>
      <w:r w:rsidR="003D55FF" w:rsidRPr="00CA629D">
        <w:rPr>
          <w:color w:val="000000"/>
        </w:rPr>
        <w:t xml:space="preserve">. </w:t>
      </w:r>
      <w:r w:rsidR="00454C7B">
        <w:rPr>
          <w:color w:val="000000"/>
        </w:rPr>
        <w:t xml:space="preserve"> The </w:t>
      </w:r>
      <w:r w:rsidR="00CA629D" w:rsidRPr="00CA629D">
        <w:rPr>
          <w:color w:val="000000"/>
        </w:rPr>
        <w:t xml:space="preserve">DSSP is a key commitment under Priority Reform 2, </w:t>
      </w:r>
      <w:r w:rsidR="00E25438">
        <w:rPr>
          <w:color w:val="000000"/>
        </w:rPr>
        <w:t xml:space="preserve">of the </w:t>
      </w:r>
      <w:r w:rsidR="00CA629D" w:rsidRPr="00CA629D">
        <w:rPr>
          <w:color w:val="000000"/>
        </w:rPr>
        <w:t>National</w:t>
      </w:r>
      <w:r w:rsidR="003E0AB4">
        <w:rPr>
          <w:color w:val="000000"/>
        </w:rPr>
        <w:t xml:space="preserve"> Agreement on Closing the Gap. </w:t>
      </w:r>
    </w:p>
    <w:p w14:paraId="56051536" w14:textId="44A77120" w:rsidR="00CA629D" w:rsidRDefault="00CA629D" w:rsidP="003E0AB4">
      <w:pPr>
        <w:spacing w:after="240"/>
        <w:rPr>
          <w:color w:val="000000"/>
        </w:rPr>
      </w:pPr>
      <w:r w:rsidRPr="00CA629D">
        <w:rPr>
          <w:color w:val="000000"/>
        </w:rPr>
        <w:t xml:space="preserve">The DSSP also seeks to align its activities with other national strategies, frameworks and reform agendas underway, </w:t>
      </w:r>
      <w:r w:rsidR="00BB08CD">
        <w:rPr>
          <w:color w:val="000000"/>
        </w:rPr>
        <w:t>including</w:t>
      </w:r>
      <w:r w:rsidRPr="00CA629D">
        <w:rPr>
          <w:color w:val="000000"/>
        </w:rPr>
        <w:t xml:space="preserve"> </w:t>
      </w:r>
      <w:r w:rsidRPr="00891D94">
        <w:rPr>
          <w:color w:val="000000"/>
        </w:rPr>
        <w:t>Australia’s Disability Strategy</w:t>
      </w:r>
      <w:r w:rsidRPr="00CA629D">
        <w:rPr>
          <w:color w:val="000000"/>
        </w:rPr>
        <w:t>, state and territory disability strategies and the forthcoming final report of the Royal Commission</w:t>
      </w:r>
      <w:r w:rsidR="00E25438">
        <w:rPr>
          <w:color w:val="000000"/>
        </w:rPr>
        <w:t xml:space="preserve"> into Violence, Abuse, Neglect and Exploitation of People with Disability</w:t>
      </w:r>
      <w:r w:rsidRPr="00CA629D">
        <w:rPr>
          <w:color w:val="000000"/>
        </w:rPr>
        <w:t xml:space="preserve">. </w:t>
      </w:r>
      <w:r w:rsidR="007577DB">
        <w:rPr>
          <w:color w:val="000000"/>
        </w:rPr>
        <w:t>The National Autism Strategy will align with the DSSP and other related national frameworks for First Nations People with disability.</w:t>
      </w:r>
    </w:p>
    <w:p w14:paraId="3C5F683B" w14:textId="51BA7CA2" w:rsidR="002F3700" w:rsidRDefault="00C77BFB" w:rsidP="00C77BFB">
      <w:pPr>
        <w:spacing w:after="160" w:line="259" w:lineRule="auto"/>
        <w:rPr>
          <w:rFonts w:ascii="Calibri" w:hAnsi="Calibri" w:cs="Calibri"/>
          <w:color w:val="6B2976"/>
        </w:rPr>
      </w:pPr>
      <w:r>
        <w:rPr>
          <w:rFonts w:ascii="Calibri" w:hAnsi="Calibri" w:cs="Calibri"/>
          <w:color w:val="6B2976"/>
        </w:rPr>
        <w:br w:type="page"/>
      </w:r>
    </w:p>
    <w:p w14:paraId="2F749857" w14:textId="16D3C7CB" w:rsidR="00BB08CD" w:rsidRDefault="00BB08CD" w:rsidP="003E0AB4">
      <w:pPr>
        <w:spacing w:after="240"/>
      </w:pPr>
      <w:r w:rsidRPr="00121399">
        <w:lastRenderedPageBreak/>
        <w:t>Additionally, t</w:t>
      </w:r>
      <w:r w:rsidR="002F3700" w:rsidRPr="00121399">
        <w:t>he NDIA is delivering improved NDIS services via A</w:t>
      </w:r>
      <w:r w:rsidR="00692CFA" w:rsidRPr="00121399">
        <w:t>CCHO</w:t>
      </w:r>
      <w:r w:rsidRPr="00121399">
        <w:t>s, including:</w:t>
      </w:r>
      <w:r w:rsidR="002F3700" w:rsidRPr="00121399">
        <w:t xml:space="preserve"> </w:t>
      </w:r>
    </w:p>
    <w:p w14:paraId="3F0F960C" w14:textId="53CB7A3F" w:rsidR="00BB08CD" w:rsidRPr="00BB08CD" w:rsidRDefault="00BB08CD" w:rsidP="003E0AB4">
      <w:pPr>
        <w:pStyle w:val="ListParagraph"/>
        <w:numPr>
          <w:ilvl w:val="0"/>
          <w:numId w:val="7"/>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A</w:t>
      </w:r>
      <w:r w:rsidR="00585844" w:rsidRPr="00BB08CD">
        <w:rPr>
          <w:rFonts w:ascii="Times New Roman" w:hAnsi="Times New Roman" w:cs="Times New Roman"/>
          <w:sz w:val="24"/>
          <w:szCs w:val="24"/>
        </w:rPr>
        <w:t>n Australian </w:t>
      </w:r>
      <w:r w:rsidR="002F3700" w:rsidRPr="00BB08CD">
        <w:rPr>
          <w:rFonts w:ascii="Times New Roman" w:hAnsi="Times New Roman" w:cs="Times New Roman"/>
          <w:sz w:val="24"/>
          <w:szCs w:val="24"/>
        </w:rPr>
        <w:t>Government investment of $5.9 million in the NDIS Ready project to increase A</w:t>
      </w:r>
      <w:r w:rsidR="00692CFA" w:rsidRPr="00BB08CD">
        <w:rPr>
          <w:rFonts w:ascii="Times New Roman" w:hAnsi="Times New Roman" w:cs="Times New Roman"/>
          <w:sz w:val="24"/>
          <w:szCs w:val="24"/>
        </w:rPr>
        <w:t>CCHO</w:t>
      </w:r>
      <w:r w:rsidR="002F3700" w:rsidRPr="00BB08CD">
        <w:rPr>
          <w:rFonts w:ascii="Times New Roman" w:hAnsi="Times New Roman" w:cs="Times New Roman"/>
          <w:sz w:val="24"/>
          <w:szCs w:val="24"/>
        </w:rPr>
        <w:t xml:space="preserve">s registrations to deliver NDIS services. </w:t>
      </w:r>
    </w:p>
    <w:p w14:paraId="263D2723" w14:textId="662FCDB1" w:rsidR="00BB08CD" w:rsidRPr="00BB08CD" w:rsidRDefault="002F3700" w:rsidP="00BB08CD">
      <w:pPr>
        <w:pStyle w:val="ListParagraph"/>
        <w:numPr>
          <w:ilvl w:val="0"/>
          <w:numId w:val="7"/>
        </w:numPr>
        <w:spacing w:after="0" w:line="240" w:lineRule="auto"/>
        <w:ind w:left="714" w:hanging="357"/>
        <w:rPr>
          <w:rFonts w:ascii="Times New Roman" w:hAnsi="Times New Roman" w:cs="Times New Roman"/>
          <w:sz w:val="24"/>
          <w:szCs w:val="24"/>
        </w:rPr>
      </w:pPr>
      <w:r w:rsidRPr="00BB08CD">
        <w:rPr>
          <w:rFonts w:ascii="Times New Roman" w:hAnsi="Times New Roman" w:cs="Times New Roman"/>
          <w:sz w:val="24"/>
          <w:szCs w:val="24"/>
        </w:rPr>
        <w:t xml:space="preserve">An </w:t>
      </w:r>
      <w:r w:rsidR="00BB08CD">
        <w:rPr>
          <w:rFonts w:ascii="Times New Roman" w:hAnsi="Times New Roman" w:cs="Times New Roman"/>
          <w:sz w:val="24"/>
          <w:szCs w:val="24"/>
        </w:rPr>
        <w:t>additional $4.5 million</w:t>
      </w:r>
      <w:r w:rsidRPr="00BB08CD">
        <w:rPr>
          <w:rFonts w:ascii="Times New Roman" w:hAnsi="Times New Roman" w:cs="Times New Roman"/>
          <w:sz w:val="24"/>
          <w:szCs w:val="24"/>
        </w:rPr>
        <w:t xml:space="preserve"> provided to ACC</w:t>
      </w:r>
      <w:r w:rsidR="00BB08CD">
        <w:rPr>
          <w:rFonts w:ascii="Times New Roman" w:hAnsi="Times New Roman" w:cs="Times New Roman"/>
          <w:sz w:val="24"/>
          <w:szCs w:val="24"/>
        </w:rPr>
        <w:t xml:space="preserve">HOs through the </w:t>
      </w:r>
      <w:r w:rsidRPr="00BB08CD">
        <w:rPr>
          <w:rFonts w:ascii="Times New Roman" w:hAnsi="Times New Roman" w:cs="Times New Roman"/>
          <w:sz w:val="24"/>
          <w:szCs w:val="24"/>
        </w:rPr>
        <w:t>N</w:t>
      </w:r>
      <w:r w:rsidR="00D023E5" w:rsidRPr="00BB08CD">
        <w:rPr>
          <w:rFonts w:ascii="Times New Roman" w:hAnsi="Times New Roman" w:cs="Times New Roman"/>
          <w:sz w:val="24"/>
          <w:szCs w:val="24"/>
        </w:rPr>
        <w:t xml:space="preserve">ational </w:t>
      </w:r>
      <w:r w:rsidRPr="00BB08CD">
        <w:rPr>
          <w:rFonts w:ascii="Times New Roman" w:hAnsi="Times New Roman" w:cs="Times New Roman"/>
          <w:sz w:val="24"/>
          <w:szCs w:val="24"/>
        </w:rPr>
        <w:t>A</w:t>
      </w:r>
      <w:r w:rsidR="00D023E5" w:rsidRPr="00BB08CD">
        <w:rPr>
          <w:rFonts w:ascii="Times New Roman" w:hAnsi="Times New Roman" w:cs="Times New Roman"/>
          <w:sz w:val="24"/>
          <w:szCs w:val="24"/>
        </w:rPr>
        <w:t xml:space="preserve">boriginal </w:t>
      </w:r>
      <w:r w:rsidRPr="00BB08CD">
        <w:rPr>
          <w:rFonts w:ascii="Times New Roman" w:hAnsi="Times New Roman" w:cs="Times New Roman"/>
          <w:sz w:val="24"/>
          <w:szCs w:val="24"/>
        </w:rPr>
        <w:t>C</w:t>
      </w:r>
      <w:r w:rsidR="00D023E5" w:rsidRPr="00BB08CD">
        <w:rPr>
          <w:rFonts w:ascii="Times New Roman" w:hAnsi="Times New Roman" w:cs="Times New Roman"/>
          <w:sz w:val="24"/>
          <w:szCs w:val="24"/>
        </w:rPr>
        <w:t xml:space="preserve">ommunity </w:t>
      </w:r>
      <w:r w:rsidRPr="00BB08CD">
        <w:rPr>
          <w:rFonts w:ascii="Times New Roman" w:hAnsi="Times New Roman" w:cs="Times New Roman"/>
          <w:sz w:val="24"/>
          <w:szCs w:val="24"/>
        </w:rPr>
        <w:t>C</w:t>
      </w:r>
      <w:r w:rsidR="00D023E5" w:rsidRPr="00BB08CD">
        <w:rPr>
          <w:rFonts w:ascii="Times New Roman" w:hAnsi="Times New Roman" w:cs="Times New Roman"/>
          <w:sz w:val="24"/>
          <w:szCs w:val="24"/>
        </w:rPr>
        <w:t xml:space="preserve">ontrolled </w:t>
      </w:r>
      <w:r w:rsidRPr="00BB08CD">
        <w:rPr>
          <w:rFonts w:ascii="Times New Roman" w:hAnsi="Times New Roman" w:cs="Times New Roman"/>
          <w:sz w:val="24"/>
          <w:szCs w:val="24"/>
        </w:rPr>
        <w:t>H</w:t>
      </w:r>
      <w:r w:rsidR="00D023E5" w:rsidRPr="00BB08CD">
        <w:rPr>
          <w:rFonts w:ascii="Times New Roman" w:hAnsi="Times New Roman" w:cs="Times New Roman"/>
          <w:sz w:val="24"/>
          <w:szCs w:val="24"/>
        </w:rPr>
        <w:t xml:space="preserve">ealth </w:t>
      </w:r>
      <w:r w:rsidRPr="00BB08CD">
        <w:rPr>
          <w:rFonts w:ascii="Times New Roman" w:hAnsi="Times New Roman" w:cs="Times New Roman"/>
          <w:sz w:val="24"/>
          <w:szCs w:val="24"/>
        </w:rPr>
        <w:t>O</w:t>
      </w:r>
      <w:r w:rsidR="00D023E5" w:rsidRPr="00BB08CD">
        <w:rPr>
          <w:rFonts w:ascii="Times New Roman" w:hAnsi="Times New Roman" w:cs="Times New Roman"/>
          <w:sz w:val="24"/>
          <w:szCs w:val="24"/>
        </w:rPr>
        <w:t>rganisation,</w:t>
      </w:r>
      <w:r w:rsidR="00BB08CD">
        <w:rPr>
          <w:rFonts w:ascii="Times New Roman" w:hAnsi="Times New Roman" w:cs="Times New Roman"/>
          <w:sz w:val="24"/>
          <w:szCs w:val="24"/>
        </w:rPr>
        <w:t xml:space="preserve"> to better connect First Nations people </w:t>
      </w:r>
      <w:r w:rsidRPr="00BB08CD">
        <w:rPr>
          <w:rFonts w:ascii="Times New Roman" w:hAnsi="Times New Roman" w:cs="Times New Roman"/>
          <w:sz w:val="24"/>
          <w:szCs w:val="24"/>
        </w:rPr>
        <w:t xml:space="preserve">with disability to the NDIS through the Aboriginal Disability Liaison Officer program. </w:t>
      </w:r>
    </w:p>
    <w:p w14:paraId="28C37828" w14:textId="178E7FA6" w:rsidR="002F3700" w:rsidRDefault="00BB08CD" w:rsidP="00BB08CD">
      <w:pPr>
        <w:pStyle w:val="ListParagraph"/>
        <w:numPr>
          <w:ilvl w:val="0"/>
          <w:numId w:val="7"/>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The </w:t>
      </w:r>
      <w:r w:rsidR="002F3700" w:rsidRPr="00BB08CD">
        <w:rPr>
          <w:rFonts w:ascii="Times New Roman" w:hAnsi="Times New Roman" w:cs="Times New Roman"/>
          <w:sz w:val="24"/>
          <w:szCs w:val="24"/>
        </w:rPr>
        <w:t>NDIA is providing funding of $13.8</w:t>
      </w:r>
      <w:r w:rsidR="00D023E5" w:rsidRPr="00BB08CD">
        <w:rPr>
          <w:rFonts w:ascii="Times New Roman" w:hAnsi="Times New Roman" w:cs="Times New Roman"/>
          <w:sz w:val="24"/>
          <w:szCs w:val="24"/>
        </w:rPr>
        <w:t xml:space="preserve"> </w:t>
      </w:r>
      <w:r w:rsidR="002F3700" w:rsidRPr="00BB08CD">
        <w:rPr>
          <w:rFonts w:ascii="Times New Roman" w:hAnsi="Times New Roman" w:cs="Times New Roman"/>
          <w:sz w:val="24"/>
          <w:szCs w:val="24"/>
        </w:rPr>
        <w:t>million annually</w:t>
      </w:r>
      <w:r w:rsidR="00454C7B">
        <w:rPr>
          <w:rFonts w:ascii="Times New Roman" w:hAnsi="Times New Roman" w:cs="Times New Roman"/>
          <w:sz w:val="24"/>
          <w:szCs w:val="24"/>
        </w:rPr>
        <w:t xml:space="preserve"> through the Remote </w:t>
      </w:r>
      <w:r>
        <w:rPr>
          <w:rFonts w:ascii="Times New Roman" w:hAnsi="Times New Roman" w:cs="Times New Roman"/>
          <w:sz w:val="24"/>
          <w:szCs w:val="24"/>
        </w:rPr>
        <w:t>Community Connector program</w:t>
      </w:r>
      <w:r w:rsidR="002F3700" w:rsidRPr="00BB08CD">
        <w:rPr>
          <w:rFonts w:ascii="Times New Roman" w:hAnsi="Times New Roman" w:cs="Times New Roman"/>
          <w:sz w:val="24"/>
          <w:szCs w:val="24"/>
        </w:rPr>
        <w:t xml:space="preserve"> to Aboriginal Controlled Organisations</w:t>
      </w:r>
      <w:r>
        <w:rPr>
          <w:rFonts w:ascii="Times New Roman" w:hAnsi="Times New Roman" w:cs="Times New Roman"/>
          <w:sz w:val="24"/>
          <w:szCs w:val="24"/>
        </w:rPr>
        <w:t xml:space="preserve"> (</w:t>
      </w:r>
      <w:r w:rsidR="002F3700" w:rsidRPr="00BB08CD">
        <w:rPr>
          <w:rFonts w:ascii="Times New Roman" w:hAnsi="Times New Roman" w:cs="Times New Roman"/>
          <w:sz w:val="24"/>
          <w:szCs w:val="24"/>
        </w:rPr>
        <w:t>primarily Aboriginal Medical Services and Aboriginal Shire Councils</w:t>
      </w:r>
      <w:r>
        <w:rPr>
          <w:rFonts w:ascii="Times New Roman" w:hAnsi="Times New Roman" w:cs="Times New Roman"/>
          <w:sz w:val="24"/>
          <w:szCs w:val="24"/>
        </w:rPr>
        <w:t>)</w:t>
      </w:r>
      <w:r w:rsidR="00D023E5" w:rsidRPr="00BB08CD">
        <w:rPr>
          <w:rFonts w:ascii="Times New Roman" w:hAnsi="Times New Roman" w:cs="Times New Roman"/>
          <w:sz w:val="24"/>
          <w:szCs w:val="24"/>
        </w:rPr>
        <w:t xml:space="preserve"> </w:t>
      </w:r>
      <w:r w:rsidR="002F3700" w:rsidRPr="00BB08CD">
        <w:rPr>
          <w:rFonts w:ascii="Times New Roman" w:hAnsi="Times New Roman" w:cs="Times New Roman"/>
          <w:sz w:val="24"/>
          <w:szCs w:val="24"/>
        </w:rPr>
        <w:t>in remote areas to im</w:t>
      </w:r>
      <w:r w:rsidR="00585844" w:rsidRPr="00BB08CD">
        <w:rPr>
          <w:rFonts w:ascii="Times New Roman" w:hAnsi="Times New Roman" w:cs="Times New Roman"/>
          <w:sz w:val="24"/>
          <w:szCs w:val="24"/>
        </w:rPr>
        <w:t>prove access to the NDIS. The </w:t>
      </w:r>
      <w:r w:rsidR="002F3700" w:rsidRPr="00BB08CD">
        <w:rPr>
          <w:rFonts w:ascii="Times New Roman" w:hAnsi="Times New Roman" w:cs="Times New Roman"/>
          <w:sz w:val="24"/>
          <w:szCs w:val="24"/>
        </w:rPr>
        <w:t>program is undergoin</w:t>
      </w:r>
      <w:r w:rsidR="00454C7B">
        <w:rPr>
          <w:rFonts w:ascii="Times New Roman" w:hAnsi="Times New Roman" w:cs="Times New Roman"/>
          <w:sz w:val="24"/>
          <w:szCs w:val="24"/>
        </w:rPr>
        <w:t>g expansion, with an </w:t>
      </w:r>
      <w:r w:rsidR="002F3700" w:rsidRPr="00BB08CD">
        <w:rPr>
          <w:rFonts w:ascii="Times New Roman" w:hAnsi="Times New Roman" w:cs="Times New Roman"/>
          <w:sz w:val="24"/>
          <w:szCs w:val="24"/>
        </w:rPr>
        <w:t xml:space="preserve">additional </w:t>
      </w:r>
      <w:r>
        <w:rPr>
          <w:rFonts w:ascii="Times New Roman" w:hAnsi="Times New Roman" w:cs="Times New Roman"/>
          <w:sz w:val="24"/>
          <w:szCs w:val="24"/>
        </w:rPr>
        <w:t>$</w:t>
      </w:r>
      <w:r w:rsidR="002F3700" w:rsidRPr="00BB08CD">
        <w:rPr>
          <w:rFonts w:ascii="Times New Roman" w:hAnsi="Times New Roman" w:cs="Times New Roman"/>
          <w:sz w:val="24"/>
          <w:szCs w:val="24"/>
        </w:rPr>
        <w:t>3.5 million planned for</w:t>
      </w:r>
      <w:r w:rsidR="00454C7B">
        <w:rPr>
          <w:rFonts w:ascii="Times New Roman" w:hAnsi="Times New Roman" w:cs="Times New Roman"/>
          <w:sz w:val="24"/>
          <w:szCs w:val="24"/>
        </w:rPr>
        <w:t xml:space="preserve"> the</w:t>
      </w:r>
      <w:r w:rsidR="002F3700" w:rsidRPr="00BB08CD">
        <w:rPr>
          <w:rFonts w:ascii="Times New Roman" w:hAnsi="Times New Roman" w:cs="Times New Roman"/>
          <w:sz w:val="24"/>
          <w:szCs w:val="24"/>
        </w:rPr>
        <w:t xml:space="preserve"> 2022-23</w:t>
      </w:r>
      <w:r w:rsidR="00D023E5" w:rsidRPr="00BB08CD">
        <w:rPr>
          <w:rFonts w:ascii="Times New Roman" w:hAnsi="Times New Roman" w:cs="Times New Roman"/>
          <w:sz w:val="24"/>
          <w:szCs w:val="24"/>
        </w:rPr>
        <w:t xml:space="preserve"> financial year</w:t>
      </w:r>
      <w:r w:rsidR="002F3700" w:rsidRPr="00BB08CD">
        <w:rPr>
          <w:rFonts w:ascii="Times New Roman" w:hAnsi="Times New Roman" w:cs="Times New Roman"/>
          <w:sz w:val="24"/>
          <w:szCs w:val="24"/>
        </w:rPr>
        <w:t>.</w:t>
      </w:r>
    </w:p>
    <w:p w14:paraId="38422EB5" w14:textId="37745083" w:rsidR="00BB08CD" w:rsidRPr="003E0AB4" w:rsidRDefault="000718AA" w:rsidP="003E0AB4">
      <w:pPr>
        <w:pStyle w:val="ListParagraph"/>
        <w:numPr>
          <w:ilvl w:val="0"/>
          <w:numId w:val="7"/>
        </w:numPr>
        <w:spacing w:after="24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Agency is </w:t>
      </w:r>
      <w:r w:rsidRPr="003F30DD">
        <w:rPr>
          <w:rFonts w:ascii="Times New Roman" w:hAnsi="Times New Roman" w:cs="Times New Roman"/>
          <w:sz w:val="24"/>
          <w:szCs w:val="24"/>
        </w:rPr>
        <w:t>working closely with First Nations service partners to enhance and improve the Remote Community Connector Program and to embed co-design in the NDIA approach. The NDIA is working in</w:t>
      </w:r>
      <w:r w:rsidR="00454C7B">
        <w:rPr>
          <w:rFonts w:ascii="Times New Roman" w:hAnsi="Times New Roman" w:cs="Times New Roman"/>
          <w:sz w:val="24"/>
          <w:szCs w:val="24"/>
        </w:rPr>
        <w:t xml:space="preserve"> partnership with people with </w:t>
      </w:r>
      <w:r w:rsidRPr="003F30DD">
        <w:rPr>
          <w:rFonts w:ascii="Times New Roman" w:hAnsi="Times New Roman" w:cs="Times New Roman"/>
          <w:sz w:val="24"/>
          <w:szCs w:val="24"/>
        </w:rPr>
        <w:t>lived experience of disability through th</w:t>
      </w:r>
      <w:r w:rsidR="00454C7B">
        <w:rPr>
          <w:rFonts w:ascii="Times New Roman" w:hAnsi="Times New Roman" w:cs="Times New Roman"/>
          <w:sz w:val="24"/>
          <w:szCs w:val="24"/>
        </w:rPr>
        <w:t xml:space="preserve">e Independent Advisory Council </w:t>
      </w:r>
      <w:r w:rsidRPr="003F30DD">
        <w:rPr>
          <w:rFonts w:ascii="Times New Roman" w:hAnsi="Times New Roman" w:cs="Times New Roman"/>
          <w:sz w:val="24"/>
          <w:szCs w:val="24"/>
        </w:rPr>
        <w:t>and disability representative organisations on co-design projects, inc</w:t>
      </w:r>
      <w:r w:rsidR="00FF5528">
        <w:rPr>
          <w:rFonts w:ascii="Times New Roman" w:hAnsi="Times New Roman" w:cs="Times New Roman"/>
          <w:sz w:val="24"/>
          <w:szCs w:val="24"/>
        </w:rPr>
        <w:t>luding on a refresh of the NDIS </w:t>
      </w:r>
      <w:r w:rsidRPr="003F30DD">
        <w:rPr>
          <w:rFonts w:ascii="Times New Roman" w:hAnsi="Times New Roman" w:cs="Times New Roman"/>
          <w:sz w:val="24"/>
          <w:szCs w:val="24"/>
        </w:rPr>
        <w:t>First Nations Strategy.</w:t>
      </w:r>
    </w:p>
    <w:p w14:paraId="3618705A" w14:textId="4427BB61" w:rsidR="00C77BFB" w:rsidRDefault="002F3700" w:rsidP="006C4C5F">
      <w:pPr>
        <w:spacing w:after="240"/>
      </w:pPr>
      <w:r w:rsidRPr="002F3700">
        <w:t>To improve early childhood services</w:t>
      </w:r>
      <w:r w:rsidR="00FF5528">
        <w:t xml:space="preserve"> for children with developmental </w:t>
      </w:r>
      <w:r w:rsidR="00EE67C7">
        <w:t>delay or disability</w:t>
      </w:r>
      <w:r w:rsidR="00FF5528">
        <w:t xml:space="preserve"> in </w:t>
      </w:r>
      <w:r w:rsidRPr="002F3700">
        <w:t>remote areas, the NDIA is</w:t>
      </w:r>
      <w:r w:rsidR="00EE67C7">
        <w:t xml:space="preserve"> </w:t>
      </w:r>
      <w:r w:rsidRPr="002F3700">
        <w:t xml:space="preserve">funding </w:t>
      </w:r>
      <w:r w:rsidR="00D023E5">
        <w:t xml:space="preserve">the </w:t>
      </w:r>
      <w:r w:rsidR="00BB08CD">
        <w:t>Torres </w:t>
      </w:r>
      <w:r w:rsidRPr="002F3700">
        <w:t>Cape Hospital and Health Service $4.3</w:t>
      </w:r>
      <w:r w:rsidR="00FF5528">
        <w:t> </w:t>
      </w:r>
      <w:r w:rsidRPr="002F3700">
        <w:t>million to expand services in the Torres Strait Islands and Northern Peninsula Area</w:t>
      </w:r>
      <w:r w:rsidR="00FF5528">
        <w:t xml:space="preserve"> of </w:t>
      </w:r>
      <w:r w:rsidR="00D023E5">
        <w:t>F</w:t>
      </w:r>
      <w:r w:rsidRPr="002F3700">
        <w:t xml:space="preserve">ar </w:t>
      </w:r>
      <w:r w:rsidR="00D023E5">
        <w:t>N</w:t>
      </w:r>
      <w:r w:rsidR="00EE67C7">
        <w:t xml:space="preserve">orth Queensland. </w:t>
      </w:r>
    </w:p>
    <w:tbl>
      <w:tblPr>
        <w:tblStyle w:val="TableGrid"/>
        <w:tblW w:w="0" w:type="auto"/>
        <w:tblLook w:val="04A0" w:firstRow="1" w:lastRow="0" w:firstColumn="1" w:lastColumn="0" w:noHBand="0" w:noVBand="1"/>
        <w:tblDescription w:val="Decorative"/>
      </w:tblPr>
      <w:tblGrid>
        <w:gridCol w:w="9016"/>
      </w:tblGrid>
      <w:tr w:rsidR="00C77BFB" w14:paraId="50964DBF" w14:textId="77777777" w:rsidTr="00C77BFB">
        <w:tc>
          <w:tcPr>
            <w:tcW w:w="9016" w:type="dxa"/>
          </w:tcPr>
          <w:p w14:paraId="07518E90" w14:textId="77777777" w:rsidR="00C77BFB" w:rsidRPr="00C77BFB" w:rsidRDefault="00C77BFB" w:rsidP="00C77BFB">
            <w:pPr>
              <w:jc w:val="both"/>
              <w:rPr>
                <w:b/>
              </w:rPr>
            </w:pPr>
            <w:r w:rsidRPr="00C77BFB">
              <w:rPr>
                <w:b/>
              </w:rPr>
              <w:t>Recommendation</w:t>
            </w:r>
            <w:r w:rsidRPr="00C77BFB">
              <w:rPr>
                <w:b/>
                <w:spacing w:val="-7"/>
              </w:rPr>
              <w:t xml:space="preserve"> </w:t>
            </w:r>
            <w:r w:rsidRPr="00C77BFB">
              <w:rPr>
                <w:b/>
              </w:rPr>
              <w:t>21</w:t>
            </w:r>
          </w:p>
          <w:p w14:paraId="79B5DAC2" w14:textId="5ED6D099" w:rsidR="00C77BFB" w:rsidRDefault="00C77BFB" w:rsidP="00C77BFB">
            <w:r w:rsidRPr="003E1731">
              <w:t xml:space="preserve">The committee recommends that, as a priority, all governments through the </w:t>
            </w:r>
            <w:r w:rsidRPr="003E1731">
              <w:rPr>
                <w:bCs/>
              </w:rPr>
              <w:t>National</w:t>
            </w:r>
            <w:r w:rsidRPr="003E1731">
              <w:rPr>
                <w:bCs/>
                <w:spacing w:val="-7"/>
              </w:rPr>
              <w:t xml:space="preserve"> </w:t>
            </w:r>
            <w:r w:rsidRPr="003E1731">
              <w:rPr>
                <w:bCs/>
              </w:rPr>
              <w:t>Federation</w:t>
            </w:r>
            <w:r w:rsidRPr="003E1731">
              <w:rPr>
                <w:bCs/>
                <w:spacing w:val="-6"/>
              </w:rPr>
              <w:t xml:space="preserve"> </w:t>
            </w:r>
            <w:r w:rsidRPr="003E1731">
              <w:rPr>
                <w:bCs/>
              </w:rPr>
              <w:t>Reform</w:t>
            </w:r>
            <w:r w:rsidRPr="003E1731">
              <w:rPr>
                <w:bCs/>
                <w:spacing w:val="-5"/>
              </w:rPr>
              <w:t xml:space="preserve"> </w:t>
            </w:r>
            <w:r w:rsidRPr="003E1731">
              <w:rPr>
                <w:bCs/>
              </w:rPr>
              <w:t>Council</w:t>
            </w:r>
            <w:r w:rsidRPr="003E1731">
              <w:rPr>
                <w:spacing w:val="-7"/>
              </w:rPr>
              <w:t xml:space="preserve"> </w:t>
            </w:r>
            <w:r w:rsidRPr="003E1731">
              <w:t>review</w:t>
            </w:r>
            <w:r w:rsidRPr="003E1731">
              <w:rPr>
                <w:spacing w:val="-7"/>
              </w:rPr>
              <w:t xml:space="preserve"> </w:t>
            </w:r>
            <w:r w:rsidRPr="003E1731">
              <w:t>their approaches to coordinating service delivery for autistic people with complex needs and implement actions to ensure integrated and appropriate support for individuals and families with complex support needs, particularly during times of</w:t>
            </w:r>
            <w:r w:rsidRPr="003E1731">
              <w:rPr>
                <w:spacing w:val="-12"/>
              </w:rPr>
              <w:t xml:space="preserve"> </w:t>
            </w:r>
            <w:r w:rsidRPr="003E1731">
              <w:t>crisis.</w:t>
            </w:r>
          </w:p>
        </w:tc>
      </w:tr>
    </w:tbl>
    <w:p w14:paraId="47ED7867" w14:textId="36D06B84" w:rsidR="00C77BFB" w:rsidRPr="00C77BFB" w:rsidRDefault="00C77BFB" w:rsidP="00C34C80"/>
    <w:p w14:paraId="51A30CF0" w14:textId="6F5FC3F5" w:rsidR="00F410DE" w:rsidRPr="005604D5" w:rsidRDefault="006F5736" w:rsidP="00C34C80">
      <w:r>
        <w:rPr>
          <w:b/>
        </w:rPr>
        <w:t>Support</w:t>
      </w:r>
      <w:r w:rsidR="000E6F50">
        <w:rPr>
          <w:b/>
        </w:rPr>
        <w:t xml:space="preserve">ed </w:t>
      </w:r>
      <w:r w:rsidR="00C34C80" w:rsidRPr="00C34C80">
        <w:rPr>
          <w:b/>
        </w:rPr>
        <w:t>in principle</w:t>
      </w:r>
      <w:r w:rsidR="00EE67C7">
        <w:rPr>
          <w:b/>
        </w:rPr>
        <w:t xml:space="preserve"> </w:t>
      </w:r>
      <w:r w:rsidR="002A526B">
        <w:rPr>
          <w:b/>
        </w:rPr>
        <w:t xml:space="preserve"> </w:t>
      </w:r>
    </w:p>
    <w:p w14:paraId="7AF9C356" w14:textId="4BDD9F2E" w:rsidR="00301970" w:rsidRPr="00AE656F" w:rsidRDefault="00F410DE" w:rsidP="006C4C5F">
      <w:pPr>
        <w:spacing w:after="240"/>
      </w:pPr>
      <w:r w:rsidRPr="00EE67C7">
        <w:t>Approaches to coordinating service delivery for autistic people with complex needs</w:t>
      </w:r>
      <w:r w:rsidR="00E9641E">
        <w:t>, and </w:t>
      </w:r>
      <w:r w:rsidRPr="00EE67C7">
        <w:t xml:space="preserve">actions to ensure integrated and appropriate support for individuals and families with complex support needs, particularly in times of crisis, </w:t>
      </w:r>
      <w:r w:rsidR="00C55D16" w:rsidRPr="00EE67C7">
        <w:t>will</w:t>
      </w:r>
      <w:r w:rsidR="00EE67C7">
        <w:t xml:space="preserve"> be considered</w:t>
      </w:r>
      <w:r w:rsidR="00E246B7">
        <w:t xml:space="preserve"> in the introduction of the central coordination of disability. This will ensure real action and recognition for all Australians with disability,</w:t>
      </w:r>
      <w:r w:rsidR="007C1C93">
        <w:t xml:space="preserve"> not just NDIS participants. </w:t>
      </w:r>
    </w:p>
    <w:p w14:paraId="51331EB2" w14:textId="4264B4E5" w:rsidR="00740B73" w:rsidRDefault="005A1FFB" w:rsidP="006C4C5F">
      <w:pPr>
        <w:spacing w:after="240"/>
      </w:pPr>
      <w:r>
        <w:t>The NDIA Complex Support Needs Pathway supports participants with complex support needs (including those with autism), which commonly involves supporting their interaction with multiple service systems. In addition, participants with complex support needs (including those with autism), are funded for support coordination, providing additional support and contact between service providers and participants and their families and carers. Support coordinators may be used in times of crisis to support individuals and families connect with mainstream services and NDIS supports.</w:t>
      </w:r>
    </w:p>
    <w:p w14:paraId="68CC4B7A" w14:textId="62BFE496" w:rsidR="00EF1AB8" w:rsidRPr="00301970" w:rsidRDefault="00301970" w:rsidP="006C4C5F">
      <w:pPr>
        <w:spacing w:after="240"/>
      </w:pPr>
      <w:r w:rsidRPr="00301970">
        <w:t xml:space="preserve">The NDIA has also introduced Liaison Officers, who are the conduit between the NDIA and state and territory health and justice systems, supporting existing and prospective </w:t>
      </w:r>
      <w:r w:rsidR="00740B73">
        <w:t xml:space="preserve">NDIS </w:t>
      </w:r>
      <w:r w:rsidRPr="00301970">
        <w:t>participants.</w:t>
      </w:r>
    </w:p>
    <w:p w14:paraId="67CDEC30" w14:textId="1B78C4E8" w:rsidR="00301970" w:rsidRPr="00301970" w:rsidRDefault="009E27B7" w:rsidP="009E27B7">
      <w:pPr>
        <w:spacing w:after="160" w:line="259" w:lineRule="auto"/>
      </w:pPr>
      <w:r>
        <w:br w:type="page"/>
      </w:r>
    </w:p>
    <w:p w14:paraId="63AE1F51" w14:textId="685F21D1" w:rsidR="005A1FFB" w:rsidRDefault="005A1FFB" w:rsidP="006C4C5F">
      <w:pPr>
        <w:spacing w:after="240"/>
      </w:pPr>
      <w:r>
        <w:lastRenderedPageBreak/>
        <w:t>To support participants in times of crisis, the NDIA has committed funding over up to three years for the provision of a national After Hours Crisis Referral</w:t>
      </w:r>
      <w:r w:rsidR="00E9641E">
        <w:t xml:space="preserve"> Service (AHCRS). The </w:t>
      </w:r>
      <w:r>
        <w:t>purpose of the AHCRS is to work closely with an ND</w:t>
      </w:r>
      <w:r w:rsidR="00E9641E">
        <w:t>IS participant in crisis, share </w:t>
      </w:r>
      <w:r>
        <w:t xml:space="preserve">pertinent information with emergency services, navigate reasonable support options and reduce social admissions into hospital or other emergency services because of a breakdown of disability related supports. </w:t>
      </w:r>
    </w:p>
    <w:p w14:paraId="033CE02C" w14:textId="236A4ABD" w:rsidR="00301970" w:rsidRPr="00301970" w:rsidRDefault="00301970" w:rsidP="006C4C5F">
      <w:pPr>
        <w:spacing w:after="240"/>
      </w:pPr>
      <w:r w:rsidRPr="00301970">
        <w:t>The AHCRS provider operate</w:t>
      </w:r>
      <w:r w:rsidR="00F939C3">
        <w:t>s</w:t>
      </w:r>
      <w:r w:rsidRPr="00301970">
        <w:t xml:space="preserve"> a national telephone based service </w:t>
      </w:r>
      <w:r w:rsidR="00E9641E">
        <w:t>and is able to respond to </w:t>
      </w:r>
      <w:r w:rsidR="00F939C3">
        <w:t>request</w:t>
      </w:r>
      <w:r w:rsidR="00E9641E">
        <w:t>s</w:t>
      </w:r>
      <w:r w:rsidR="00F939C3">
        <w:t xml:space="preserve"> for assistance </w:t>
      </w:r>
      <w:r w:rsidRPr="00301970">
        <w:t>from state and territory gover</w:t>
      </w:r>
      <w:r w:rsidR="00E9641E">
        <w:t>nment emergency services. These </w:t>
      </w:r>
      <w:r w:rsidRPr="00301970">
        <w:t>services include pol</w:t>
      </w:r>
      <w:r w:rsidR="006C4C5F">
        <w:t xml:space="preserve">ice, ambulances and hospitals. </w:t>
      </w:r>
    </w:p>
    <w:p w14:paraId="044F0359" w14:textId="5DC58348" w:rsidR="00C64A21" w:rsidRDefault="00F939C3" w:rsidP="006C4C5F">
      <w:pPr>
        <w:spacing w:after="240"/>
      </w:pPr>
      <w:r>
        <w:t xml:space="preserve">NDIS participants aged 18 </w:t>
      </w:r>
      <w:r w:rsidR="00E9641E">
        <w:t xml:space="preserve">years </w:t>
      </w:r>
      <w:r>
        <w:t>and over, NDIS participant</w:t>
      </w:r>
      <w:r w:rsidR="00E9641E">
        <w:t xml:space="preserve">s included in the Voluntary Out of Home Care cohort, </w:t>
      </w:r>
      <w:r>
        <w:t>and children with supports at risk due to their disability support needs</w:t>
      </w:r>
      <w:r w:rsidR="00E9641E">
        <w:t>,</w:t>
      </w:r>
      <w:r w:rsidR="006C4C5F">
        <w:t xml:space="preserve"> can access the service.</w:t>
      </w:r>
    </w:p>
    <w:tbl>
      <w:tblPr>
        <w:tblStyle w:val="TableGrid"/>
        <w:tblW w:w="0" w:type="auto"/>
        <w:tblLook w:val="04A0" w:firstRow="1" w:lastRow="0" w:firstColumn="1" w:lastColumn="0" w:noHBand="0" w:noVBand="1"/>
        <w:tblDescription w:val="Decorative"/>
      </w:tblPr>
      <w:tblGrid>
        <w:gridCol w:w="9016"/>
      </w:tblGrid>
      <w:tr w:rsidR="00C64A21" w14:paraId="6CCCBD3B" w14:textId="77777777" w:rsidTr="00C64A21">
        <w:tc>
          <w:tcPr>
            <w:tcW w:w="9016" w:type="dxa"/>
          </w:tcPr>
          <w:p w14:paraId="5275ACD1" w14:textId="77777777" w:rsidR="00C64A21" w:rsidRPr="00C64A21" w:rsidRDefault="00C64A21" w:rsidP="00C64A21">
            <w:pPr>
              <w:jc w:val="both"/>
              <w:rPr>
                <w:b/>
              </w:rPr>
            </w:pPr>
            <w:r w:rsidRPr="00C64A21">
              <w:rPr>
                <w:b/>
              </w:rPr>
              <w:t>Recommendation</w:t>
            </w:r>
            <w:r w:rsidRPr="00C64A21">
              <w:rPr>
                <w:b/>
                <w:spacing w:val="-7"/>
              </w:rPr>
              <w:t xml:space="preserve"> </w:t>
            </w:r>
            <w:r w:rsidRPr="00C64A21">
              <w:rPr>
                <w:b/>
              </w:rPr>
              <w:t>22</w:t>
            </w:r>
          </w:p>
          <w:p w14:paraId="0708846B" w14:textId="0773B987" w:rsidR="00C64A21" w:rsidRDefault="00C64A21" w:rsidP="00C64A21">
            <w:r w:rsidRPr="003E1731">
              <w:t>The committee recommends that the National Autism Strategy recognise the vital role that families, parents and carers play in supporting autistic individuals.</w:t>
            </w:r>
          </w:p>
        </w:tc>
      </w:tr>
    </w:tbl>
    <w:p w14:paraId="354F026F" w14:textId="1393E3DA" w:rsidR="00974F34" w:rsidRPr="00AE656F" w:rsidRDefault="00974F34" w:rsidP="00974F34"/>
    <w:p w14:paraId="331D2202" w14:textId="0B9F6F49" w:rsidR="00974F34" w:rsidRPr="00AD558C" w:rsidRDefault="00974F34" w:rsidP="00974F34">
      <w:r w:rsidRPr="0071355A">
        <w:rPr>
          <w:b/>
        </w:rPr>
        <w:t>Support</w:t>
      </w:r>
      <w:r w:rsidR="000E6F50">
        <w:rPr>
          <w:b/>
        </w:rPr>
        <w:t>ed</w:t>
      </w:r>
      <w:r w:rsidRPr="0071355A">
        <w:rPr>
          <w:b/>
        </w:rPr>
        <w:t xml:space="preserve"> in principle</w:t>
      </w:r>
      <w:r w:rsidR="00AD558C">
        <w:rPr>
          <w:b/>
        </w:rPr>
        <w:t xml:space="preserve"> </w:t>
      </w:r>
    </w:p>
    <w:p w14:paraId="02BDBF1F" w14:textId="5E5F3581" w:rsidR="006C4C5F" w:rsidRDefault="00974F34" w:rsidP="006C4C5F">
      <w:pPr>
        <w:spacing w:after="240"/>
      </w:pPr>
      <w:r>
        <w:t>The role of families, parents and carers in s</w:t>
      </w:r>
      <w:r w:rsidR="0071355A">
        <w:t xml:space="preserve">upporting autistic individuals </w:t>
      </w:r>
      <w:r w:rsidR="00D507DE">
        <w:t>will be recognised</w:t>
      </w:r>
      <w:r>
        <w:t xml:space="preserve"> in the development of a National Autism Strategy. </w:t>
      </w:r>
    </w:p>
    <w:tbl>
      <w:tblPr>
        <w:tblStyle w:val="TableGrid"/>
        <w:tblW w:w="0" w:type="auto"/>
        <w:tblLook w:val="04A0" w:firstRow="1" w:lastRow="0" w:firstColumn="1" w:lastColumn="0" w:noHBand="0" w:noVBand="1"/>
        <w:tblDescription w:val="Decorative"/>
      </w:tblPr>
      <w:tblGrid>
        <w:gridCol w:w="9016"/>
      </w:tblGrid>
      <w:tr w:rsidR="0088460D" w14:paraId="18680789" w14:textId="77777777" w:rsidTr="0088460D">
        <w:tc>
          <w:tcPr>
            <w:tcW w:w="9016" w:type="dxa"/>
          </w:tcPr>
          <w:p w14:paraId="6CE79666" w14:textId="77777777" w:rsidR="0088460D" w:rsidRPr="0088460D" w:rsidRDefault="0088460D" w:rsidP="0088460D">
            <w:pPr>
              <w:keepNext/>
              <w:widowControl w:val="0"/>
              <w:jc w:val="both"/>
              <w:rPr>
                <w:b/>
              </w:rPr>
            </w:pPr>
            <w:r w:rsidRPr="0088460D">
              <w:rPr>
                <w:b/>
              </w:rPr>
              <w:t>Recommendation 23</w:t>
            </w:r>
          </w:p>
          <w:p w14:paraId="0B81B1C2" w14:textId="77777777" w:rsidR="0088460D" w:rsidRPr="003E1731" w:rsidRDefault="0088460D" w:rsidP="0088460D">
            <w:pPr>
              <w:keepNext/>
              <w:widowControl w:val="0"/>
              <w:rPr>
                <w:b/>
                <w:i/>
              </w:rPr>
            </w:pPr>
            <w:r w:rsidRPr="003E1731">
              <w:t xml:space="preserve">The committee recommends that the </w:t>
            </w:r>
            <w:r w:rsidRPr="003E1731">
              <w:rPr>
                <w:bCs/>
              </w:rPr>
              <w:t>National Disability Insurance Agency</w:t>
            </w:r>
            <w:r w:rsidRPr="003E1731">
              <w:t xml:space="preserve"> work with stakeholders and experts</w:t>
            </w:r>
            <w:r w:rsidRPr="003E1731">
              <w:rPr>
                <w:spacing w:val="-4"/>
              </w:rPr>
              <w:t xml:space="preserve"> </w:t>
            </w:r>
            <w:r w:rsidRPr="003E1731">
              <w:t>to:</w:t>
            </w:r>
          </w:p>
          <w:p w14:paraId="7F5CC49B" w14:textId="77777777" w:rsidR="00850EC3" w:rsidRDefault="0088460D" w:rsidP="0088460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clarify the operation of the 'ordinary role of parenting' principle, recognising the significant additional responsibilities borne by parents and carers of autistic individuals; and</w:t>
            </w:r>
          </w:p>
          <w:p w14:paraId="251E59CE" w14:textId="6C6F27F5" w:rsidR="0088460D" w:rsidRPr="00850EC3" w:rsidRDefault="0088460D" w:rsidP="0088460D">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institute a family-centred approach to planning that extends beyond the Early Childhood Approach and is supported by training in family-centred approaches for National Disability Insurance Scheme Planners, Local Area Coordinators, and Support Coordinators.</w:t>
            </w:r>
          </w:p>
        </w:tc>
      </w:tr>
    </w:tbl>
    <w:p w14:paraId="004F66B3" w14:textId="6635B70C" w:rsidR="004C1DD3" w:rsidRPr="00AE656F" w:rsidRDefault="004C1DD3" w:rsidP="004C1DD3"/>
    <w:p w14:paraId="0123A48B" w14:textId="5A926720" w:rsidR="004C1DD3" w:rsidRDefault="004C1DD3" w:rsidP="004C1DD3">
      <w:pPr>
        <w:rPr>
          <w:b/>
        </w:rPr>
      </w:pPr>
      <w:r w:rsidRPr="00531BDF">
        <w:rPr>
          <w:b/>
        </w:rPr>
        <w:t>Partially supported</w:t>
      </w:r>
    </w:p>
    <w:p w14:paraId="3FC430E8" w14:textId="2CD3E895" w:rsidR="00322605" w:rsidRPr="006C4C5F" w:rsidRDefault="004C1DD3" w:rsidP="006C4C5F">
      <w:pPr>
        <w:spacing w:after="240"/>
        <w:rPr>
          <w:bCs/>
        </w:rPr>
      </w:pPr>
      <w:r w:rsidRPr="004C1DD3">
        <w:t xml:space="preserve">This recommendation is </w:t>
      </w:r>
      <w:r w:rsidRPr="00531BDF">
        <w:rPr>
          <w:bCs/>
        </w:rPr>
        <w:t xml:space="preserve">partially </w:t>
      </w:r>
      <w:r w:rsidR="00967B55">
        <w:rPr>
          <w:bCs/>
        </w:rPr>
        <w:t>supported</w:t>
      </w:r>
      <w:r w:rsidR="00967B55">
        <w:t xml:space="preserve">. </w:t>
      </w:r>
    </w:p>
    <w:p w14:paraId="0C33BCBC" w14:textId="7CDF90CD" w:rsidR="00967B55" w:rsidRPr="003E2198" w:rsidRDefault="00967B55" w:rsidP="006C4C5F">
      <w:pPr>
        <w:spacing w:after="240"/>
      </w:pPr>
      <w:r w:rsidRPr="003E2198">
        <w:t xml:space="preserve">Provisions recognising the importance of family and carers to NDIS participants were included in the </w:t>
      </w:r>
      <w:r w:rsidRPr="003E2198">
        <w:rPr>
          <w:i/>
        </w:rPr>
        <w:t>National Disability Insurance Scheme Amendment (Participant Service Guarantee and Other Measures) Act 2022</w:t>
      </w:r>
      <w:r w:rsidR="00012486">
        <w:rPr>
          <w:i/>
        </w:rPr>
        <w:t xml:space="preserve"> </w:t>
      </w:r>
      <w:r w:rsidR="00012486">
        <w:t>(the Act),</w:t>
      </w:r>
      <w:r w:rsidRPr="003E2198">
        <w:rPr>
          <w:i/>
        </w:rPr>
        <w:t xml:space="preserve"> </w:t>
      </w:r>
      <w:r w:rsidR="006C4C5F">
        <w:t>which commenced on 1 July 2022.</w:t>
      </w:r>
    </w:p>
    <w:p w14:paraId="32201C52" w14:textId="39D0AD51" w:rsidR="00322605" w:rsidRDefault="00967B55" w:rsidP="006C4C5F">
      <w:pPr>
        <w:spacing w:after="240"/>
      </w:pPr>
      <w:r w:rsidRPr="003E2198">
        <w:t>These include a new guiding principle</w:t>
      </w:r>
      <w:r w:rsidR="00012486">
        <w:t xml:space="preserve"> for the administration of the A</w:t>
      </w:r>
      <w:r w:rsidRPr="003E2198">
        <w:t>ct (subsection 4(12A), that the relationship between participants and their families and carers be recognised and respected in plan preparation, plan review and management of funding (paragraph 31(ca)), and giving priority in the above activities to strengthen and build the capacity of families and carers to support participants who are children (paragraph 31(d)).</w:t>
      </w:r>
      <w:r>
        <w:t xml:space="preserve"> </w:t>
      </w:r>
    </w:p>
    <w:p w14:paraId="4A7BBB46" w14:textId="3C75ADEA" w:rsidR="00322605" w:rsidRDefault="00322605" w:rsidP="006C4C5F">
      <w:pPr>
        <w:spacing w:after="240"/>
      </w:pPr>
      <w:r>
        <w:t>The NDIA is committed to working closely with participants, their families and carers and the wider disability community to deliver the best NDIS possible.</w:t>
      </w:r>
    </w:p>
    <w:p w14:paraId="393A3A16" w14:textId="040D8BA0" w:rsidR="00AE656F" w:rsidRDefault="00AE656F">
      <w:pPr>
        <w:spacing w:after="160" w:line="259" w:lineRule="auto"/>
      </w:pPr>
      <w:r>
        <w:br w:type="page"/>
      </w:r>
    </w:p>
    <w:p w14:paraId="2186C00F" w14:textId="193361C0" w:rsidR="004C1DD3" w:rsidRPr="006C4C5F" w:rsidRDefault="004C1DD3" w:rsidP="006C4C5F">
      <w:pPr>
        <w:spacing w:after="240"/>
        <w:rPr>
          <w:sz w:val="22"/>
          <w:szCs w:val="22"/>
        </w:rPr>
      </w:pPr>
      <w:r w:rsidRPr="004C1DD3">
        <w:lastRenderedPageBreak/>
        <w:t xml:space="preserve">The NDIA has </w:t>
      </w:r>
      <w:r w:rsidR="00322605">
        <w:t xml:space="preserve">also </w:t>
      </w:r>
      <w:r w:rsidRPr="004C1DD3">
        <w:t xml:space="preserve">clarified the ‘ordinary role of parenting’ in the </w:t>
      </w:r>
      <w:r w:rsidR="00AD558C">
        <w:t>Reasonable and Necessary Supports</w:t>
      </w:r>
      <w:r w:rsidR="00531BDF">
        <w:t xml:space="preserve"> Guideline</w:t>
      </w:r>
      <w:r w:rsidRPr="004C1DD3">
        <w:t xml:space="preserve">, which sets out the specific criteria considered by NDIA </w:t>
      </w:r>
      <w:r w:rsidR="00012486">
        <w:t xml:space="preserve">planners when determining what </w:t>
      </w:r>
      <w:r w:rsidRPr="004C1DD3">
        <w:t xml:space="preserve">is reasonable to expect informal supports, including the parents and caregivers of young children, to provide.  </w:t>
      </w:r>
    </w:p>
    <w:p w14:paraId="233C2265" w14:textId="0F8A3D5F" w:rsidR="00333E9D" w:rsidRDefault="004C1DD3" w:rsidP="006C4C5F">
      <w:pPr>
        <w:spacing w:after="240"/>
      </w:pPr>
      <w:r w:rsidRPr="004C1DD3">
        <w:t xml:space="preserve">The NDIA will continue to engage with the Independent </w:t>
      </w:r>
      <w:r w:rsidR="00012486">
        <w:t>Advisory Council to the NDIS on </w:t>
      </w:r>
      <w:r w:rsidRPr="004C1DD3">
        <w:t xml:space="preserve">how to best support families and carers in their roles. </w:t>
      </w:r>
    </w:p>
    <w:tbl>
      <w:tblPr>
        <w:tblStyle w:val="TableGrid"/>
        <w:tblW w:w="0" w:type="auto"/>
        <w:tblLook w:val="04A0" w:firstRow="1" w:lastRow="0" w:firstColumn="1" w:lastColumn="0" w:noHBand="0" w:noVBand="1"/>
        <w:tblDescription w:val="Decorative"/>
      </w:tblPr>
      <w:tblGrid>
        <w:gridCol w:w="9016"/>
      </w:tblGrid>
      <w:tr w:rsidR="00333E9D" w14:paraId="2FDE32FA" w14:textId="77777777" w:rsidTr="00333E9D">
        <w:tc>
          <w:tcPr>
            <w:tcW w:w="9016" w:type="dxa"/>
          </w:tcPr>
          <w:p w14:paraId="404B224B" w14:textId="77777777" w:rsidR="00333E9D" w:rsidRPr="00333E9D" w:rsidRDefault="00333E9D" w:rsidP="00333E9D">
            <w:pPr>
              <w:spacing w:before="1" w:line="276" w:lineRule="auto"/>
              <w:jc w:val="both"/>
              <w:rPr>
                <w:b/>
              </w:rPr>
            </w:pPr>
            <w:r w:rsidRPr="00333E9D">
              <w:rPr>
                <w:b/>
              </w:rPr>
              <w:t>Recommendation 24</w:t>
            </w:r>
          </w:p>
          <w:p w14:paraId="27562BE2" w14:textId="1D6F61CD" w:rsidR="00333E9D" w:rsidRDefault="00333E9D" w:rsidP="00333E9D">
            <w:pPr>
              <w:rPr>
                <w:b/>
              </w:rPr>
            </w:pPr>
            <w:r w:rsidRPr="003E1731">
              <w:t xml:space="preserve">The committee recommends that the </w:t>
            </w:r>
            <w:r w:rsidRPr="003E1731">
              <w:rPr>
                <w:bCs/>
              </w:rPr>
              <w:t>National Disability Insurance Agency</w:t>
            </w:r>
            <w:r w:rsidRPr="003E1731">
              <w:t xml:space="preserve"> publish its guidance for planners regarding the role of caregivers and families to improve transparency and consistency of support</w:t>
            </w:r>
            <w:r w:rsidRPr="003E1731">
              <w:rPr>
                <w:spacing w:val="-7"/>
              </w:rPr>
              <w:t xml:space="preserve"> </w:t>
            </w:r>
            <w:r w:rsidRPr="003E1731">
              <w:t>provided</w:t>
            </w:r>
            <w:r>
              <w:t>.</w:t>
            </w:r>
          </w:p>
        </w:tc>
      </w:tr>
    </w:tbl>
    <w:p w14:paraId="1EE58760" w14:textId="04199B5A" w:rsidR="00C9182D" w:rsidRPr="00333E9D" w:rsidRDefault="00C9182D" w:rsidP="00C34C80"/>
    <w:p w14:paraId="5D3E270D" w14:textId="684C6E19" w:rsidR="00C34C80" w:rsidRPr="00EB7536" w:rsidRDefault="006F5736" w:rsidP="00C34C80">
      <w:pPr>
        <w:rPr>
          <w:b/>
        </w:rPr>
      </w:pPr>
      <w:r w:rsidRPr="00EB7536">
        <w:rPr>
          <w:b/>
        </w:rPr>
        <w:t>Support</w:t>
      </w:r>
      <w:r w:rsidR="000E6F50" w:rsidRPr="00EB7536">
        <w:rPr>
          <w:b/>
        </w:rPr>
        <w:t>ed</w:t>
      </w:r>
    </w:p>
    <w:p w14:paraId="2DACBF78" w14:textId="21F8CE5F" w:rsidR="00AD558C" w:rsidRDefault="00C9182D" w:rsidP="005C318D">
      <w:pPr>
        <w:spacing w:after="240"/>
      </w:pPr>
      <w:r w:rsidRPr="00EB7536">
        <w:t xml:space="preserve">The </w:t>
      </w:r>
      <w:r w:rsidR="006C7795" w:rsidRPr="00EB7536">
        <w:t xml:space="preserve">Australian </w:t>
      </w:r>
      <w:r w:rsidRPr="00EB7536">
        <w:t xml:space="preserve">Government </w:t>
      </w:r>
      <w:r w:rsidRPr="00EB7536">
        <w:rPr>
          <w:bCs/>
        </w:rPr>
        <w:t>supports</w:t>
      </w:r>
      <w:r w:rsidRPr="00EB7536">
        <w:t xml:space="preserve"> this recommendation. In 2021 the NDIA published its guidance for planners regarding the role of caregivers and families. </w:t>
      </w:r>
      <w:r w:rsidR="00EB7536">
        <w:t xml:space="preserve">The NDIS Operational Guideline </w:t>
      </w:r>
      <w:r w:rsidR="00B60B78" w:rsidRPr="00EB7536">
        <w:t>sets out h</w:t>
      </w:r>
      <w:r w:rsidR="00AD558C" w:rsidRPr="00EB7536">
        <w:t xml:space="preserve">ow the NDIA </w:t>
      </w:r>
      <w:r w:rsidRPr="00EB7536">
        <w:t>considers informal supports, and interacts with families and caregivers throughout the planning process.</w:t>
      </w:r>
      <w:r w:rsidRPr="00C9182D">
        <w:t xml:space="preserve"> </w:t>
      </w:r>
    </w:p>
    <w:p w14:paraId="03AAFD37" w14:textId="343D8884" w:rsidR="00C9182D" w:rsidRPr="005C318D" w:rsidRDefault="00C9182D" w:rsidP="005C318D">
      <w:pPr>
        <w:spacing w:after="240"/>
        <w:rPr>
          <w:sz w:val="22"/>
          <w:szCs w:val="22"/>
        </w:rPr>
      </w:pPr>
      <w:r w:rsidRPr="00C9182D">
        <w:t xml:space="preserve">The </w:t>
      </w:r>
      <w:r w:rsidR="00B60B78">
        <w:t xml:space="preserve">Reasonable and Necessary Supports </w:t>
      </w:r>
      <w:r w:rsidRPr="00C9182D">
        <w:t>Guideline sets out how the NDIA determines what is reasonable for informal supports to prov</w:t>
      </w:r>
      <w:r w:rsidR="00AD558C">
        <w:t>ide, while the Early Childhood G</w:t>
      </w:r>
      <w:r w:rsidRPr="00C9182D">
        <w:t>uideline sets out how the NDIA works with the families and caregivers and young children receiving supports under the Early Childhood approach. These guidelines are available at</w:t>
      </w:r>
      <w:r w:rsidR="000E6F50">
        <w:t>:</w:t>
      </w:r>
      <w:r w:rsidRPr="00C9182D">
        <w:t xml:space="preserve"> </w:t>
      </w:r>
      <w:hyperlink r:id="rId13" w:history="1">
        <w:r w:rsidR="000E6F50">
          <w:rPr>
            <w:rStyle w:val="Hyperlink"/>
          </w:rPr>
          <w:t>NDIS Guidelines</w:t>
        </w:r>
      </w:hyperlink>
      <w:r w:rsidR="000E6F50">
        <w:t>.</w:t>
      </w:r>
    </w:p>
    <w:p w14:paraId="65F91502" w14:textId="1D52FFC1" w:rsidR="00A42999" w:rsidRDefault="00C9182D" w:rsidP="005C318D">
      <w:pPr>
        <w:spacing w:after="240"/>
      </w:pPr>
      <w:r w:rsidRPr="00C9182D">
        <w:t>The NDIA has also published a suite of information on its website, which sets out how the Agency works with famili</w:t>
      </w:r>
      <w:r w:rsidR="000E6F50">
        <w:t xml:space="preserve">es and carers of participants. </w:t>
      </w:r>
      <w:r w:rsidRPr="00C9182D">
        <w:t xml:space="preserve">This includes the NDIA’s approach to children younger than 7 years, supports available to carers from other </w:t>
      </w:r>
      <w:r w:rsidR="00B60B78">
        <w:t>g</w:t>
      </w:r>
      <w:r w:rsidRPr="00C9182D">
        <w:t>overnment agencies, assistance on how to deal with t</w:t>
      </w:r>
      <w:r w:rsidR="000E6F50">
        <w:t>he death of a loved one in the NDIS</w:t>
      </w:r>
      <w:r w:rsidRPr="00C9182D">
        <w:t>, the roles of participant guardians and nominees and how participants can transition to more appropriate accommodation, from re</w:t>
      </w:r>
      <w:r w:rsidR="000E6F50">
        <w:t xml:space="preserve">sidential aged care facilities. Further information is available here: </w:t>
      </w:r>
      <w:hyperlink r:id="rId14" w:history="1">
        <w:r w:rsidR="000E6F50">
          <w:rPr>
            <w:rStyle w:val="Hyperlink"/>
          </w:rPr>
          <w:t>For families and carers | NDIS</w:t>
        </w:r>
      </w:hyperlink>
      <w:r w:rsidR="000E6F50">
        <w:t>.</w:t>
      </w:r>
    </w:p>
    <w:tbl>
      <w:tblPr>
        <w:tblStyle w:val="TableGrid"/>
        <w:tblW w:w="0" w:type="auto"/>
        <w:tblLook w:val="04A0" w:firstRow="1" w:lastRow="0" w:firstColumn="1" w:lastColumn="0" w:noHBand="0" w:noVBand="1"/>
        <w:tblDescription w:val="Decorative"/>
      </w:tblPr>
      <w:tblGrid>
        <w:gridCol w:w="9016"/>
      </w:tblGrid>
      <w:tr w:rsidR="00A42999" w14:paraId="69DF9BF9" w14:textId="77777777" w:rsidTr="00A42999">
        <w:tc>
          <w:tcPr>
            <w:tcW w:w="9016" w:type="dxa"/>
          </w:tcPr>
          <w:p w14:paraId="3CB6D7BD" w14:textId="77777777" w:rsidR="00A42999" w:rsidRPr="00A42999" w:rsidRDefault="00A42999" w:rsidP="00A42999">
            <w:pPr>
              <w:spacing w:line="276" w:lineRule="auto"/>
              <w:jc w:val="both"/>
              <w:rPr>
                <w:b/>
              </w:rPr>
            </w:pPr>
            <w:r w:rsidRPr="00A42999">
              <w:rPr>
                <w:b/>
              </w:rPr>
              <w:t>Recommendation 25</w:t>
            </w:r>
          </w:p>
          <w:p w14:paraId="28874E9D" w14:textId="4D7F4CF8" w:rsidR="00A42999" w:rsidRDefault="00A42999" w:rsidP="00A42999">
            <w:r w:rsidRPr="003E1731">
              <w:t>The</w:t>
            </w:r>
            <w:r w:rsidRPr="003E1731">
              <w:rPr>
                <w:spacing w:val="-6"/>
              </w:rPr>
              <w:t xml:space="preserve"> </w:t>
            </w:r>
            <w:r w:rsidRPr="003E1731">
              <w:t>committee</w:t>
            </w:r>
            <w:r w:rsidRPr="003E1731">
              <w:rPr>
                <w:spacing w:val="-6"/>
              </w:rPr>
              <w:t xml:space="preserve"> </w:t>
            </w:r>
            <w:r w:rsidRPr="003E1731">
              <w:t>recommends</w:t>
            </w:r>
            <w:r w:rsidRPr="003E1731">
              <w:rPr>
                <w:spacing w:val="-6"/>
              </w:rPr>
              <w:t xml:space="preserve"> </w:t>
            </w:r>
            <w:r w:rsidRPr="003E1731">
              <w:t>that</w:t>
            </w:r>
            <w:r w:rsidRPr="003E1731">
              <w:rPr>
                <w:spacing w:val="-7"/>
              </w:rPr>
              <w:t xml:space="preserve"> </w:t>
            </w:r>
            <w:r w:rsidRPr="003E1731">
              <w:rPr>
                <w:bCs/>
              </w:rPr>
              <w:t>state</w:t>
            </w:r>
            <w:r w:rsidRPr="003E1731">
              <w:rPr>
                <w:bCs/>
                <w:spacing w:val="-5"/>
              </w:rPr>
              <w:t xml:space="preserve"> </w:t>
            </w:r>
            <w:r w:rsidRPr="003E1731">
              <w:rPr>
                <w:bCs/>
              </w:rPr>
              <w:t>and</w:t>
            </w:r>
            <w:r w:rsidRPr="003E1731">
              <w:rPr>
                <w:bCs/>
                <w:spacing w:val="-6"/>
              </w:rPr>
              <w:t xml:space="preserve"> </w:t>
            </w:r>
            <w:r w:rsidRPr="003E1731">
              <w:rPr>
                <w:bCs/>
              </w:rPr>
              <w:t>territory</w:t>
            </w:r>
            <w:r w:rsidRPr="003E1731">
              <w:rPr>
                <w:bCs/>
                <w:spacing w:val="-4"/>
              </w:rPr>
              <w:t xml:space="preserve"> </w:t>
            </w:r>
            <w:r w:rsidRPr="003E1731">
              <w:rPr>
                <w:bCs/>
              </w:rPr>
              <w:t>governments</w:t>
            </w:r>
            <w:r w:rsidRPr="003E1731">
              <w:rPr>
                <w:spacing w:val="-9"/>
              </w:rPr>
              <w:t xml:space="preserve"> </w:t>
            </w:r>
            <w:r w:rsidRPr="003E1731">
              <w:t>undertake</w:t>
            </w:r>
            <w:r w:rsidRPr="003E1731">
              <w:rPr>
                <w:spacing w:val="-5"/>
              </w:rPr>
              <w:t xml:space="preserve"> </w:t>
            </w:r>
            <w:r w:rsidRPr="003E1731">
              <w:t>a mapping of respite and support services for parents and work with government and non-government providers to address identified gaps in support.</w:t>
            </w:r>
          </w:p>
        </w:tc>
      </w:tr>
    </w:tbl>
    <w:p w14:paraId="63025527" w14:textId="576ACBAD" w:rsidR="000E6F50" w:rsidRPr="006A1CA5" w:rsidRDefault="000E6F50" w:rsidP="00612D1C"/>
    <w:p w14:paraId="248C92CE" w14:textId="1C8F7C31" w:rsidR="00825CBF" w:rsidRPr="00825CBF" w:rsidRDefault="000E6F50" w:rsidP="008337E4">
      <w:pPr>
        <w:rPr>
          <w:b/>
          <w:u w:val="single"/>
        </w:rPr>
      </w:pPr>
      <w:r>
        <w:rPr>
          <w:b/>
        </w:rPr>
        <w:t>Supported in principle</w:t>
      </w:r>
    </w:p>
    <w:p w14:paraId="0C5337ED" w14:textId="6B3F8DAB" w:rsidR="00D507DE" w:rsidRDefault="006562E8" w:rsidP="00393C6F">
      <w:pPr>
        <w:spacing w:after="240"/>
      </w:pPr>
      <w:r>
        <w:t>This is a matter</w:t>
      </w:r>
      <w:r w:rsidR="00D507DE">
        <w:t xml:space="preserve"> for state and territory government consideration.</w:t>
      </w:r>
    </w:p>
    <w:p w14:paraId="4C41909B" w14:textId="363178FA" w:rsidR="00306DA7" w:rsidRDefault="00306DA7" w:rsidP="00393C6F">
      <w:pPr>
        <w:spacing w:after="240"/>
      </w:pPr>
      <w:r>
        <w:t xml:space="preserve">The </w:t>
      </w:r>
      <w:r w:rsidR="006C7795">
        <w:t xml:space="preserve">Australian </w:t>
      </w:r>
      <w:r>
        <w:t xml:space="preserve">Government notes there are existing measures in place to assist and provide support for all carers through </w:t>
      </w:r>
      <w:r w:rsidR="00CD3D92">
        <w:t xml:space="preserve">the </w:t>
      </w:r>
      <w:r>
        <w:t>Carer Gateway. Carer Gateway is a</w:t>
      </w:r>
      <w:r w:rsidR="000E6F50">
        <w:t>n Australian </w:t>
      </w:r>
      <w:r>
        <w:t>Government initiative providing a range of free in-person, online and phone-based s</w:t>
      </w:r>
      <w:r w:rsidR="00612D1C">
        <w:t>upport</w:t>
      </w:r>
      <w:r w:rsidR="000E6F50">
        <w:t>s</w:t>
      </w:r>
      <w:r w:rsidR="00612D1C">
        <w:t xml:space="preserve"> and services to carers. </w:t>
      </w:r>
      <w:r w:rsidR="00EB7536">
        <w:t xml:space="preserve">The purpose of </w:t>
      </w:r>
      <w:r>
        <w:t>Carer Gateway is to provide services and support for all carers in their own right, regardless of the age or condition of their care recipient. Services include: carer needs and support planning; c</w:t>
      </w:r>
      <w:r w:rsidR="00EB7536">
        <w:t>ounselling; peer support; carer </w:t>
      </w:r>
      <w:r>
        <w:t>directed support packages; emergency respite; coachi</w:t>
      </w:r>
      <w:r w:rsidR="00EB7536">
        <w:t>ng; information and advice; and </w:t>
      </w:r>
      <w:r>
        <w:t xml:space="preserve">assistance with navigating and accessing relevant local and </w:t>
      </w:r>
      <w:r w:rsidR="00612D1C">
        <w:t>Australian</w:t>
      </w:r>
      <w:r>
        <w:t xml:space="preserve"> Government services. </w:t>
      </w:r>
    </w:p>
    <w:p w14:paraId="1A1091C4" w14:textId="44FE9375" w:rsidR="00306DA7" w:rsidRDefault="009E27B7" w:rsidP="009E27B7">
      <w:pPr>
        <w:spacing w:after="160" w:line="259" w:lineRule="auto"/>
      </w:pPr>
      <w:r>
        <w:br w:type="page"/>
      </w:r>
    </w:p>
    <w:p w14:paraId="074E4276" w14:textId="5D0B4161" w:rsidR="00306DA7" w:rsidRDefault="00306DA7" w:rsidP="00393C6F">
      <w:pPr>
        <w:spacing w:after="240"/>
      </w:pPr>
      <w:r>
        <w:lastRenderedPageBreak/>
        <w:t>Through Carer Gateway, carers can access planned respite through Carer Directed Support packages brokered by Carer Gateway service providers. The Carer Directed Support service is a consumer directed approach to supporting carers in their</w:t>
      </w:r>
      <w:r w:rsidR="00EB7536">
        <w:t xml:space="preserve"> caring role. It gives carers a </w:t>
      </w:r>
      <w:r>
        <w:t>greater say and more control over the design and deli</w:t>
      </w:r>
      <w:r w:rsidR="000E6F50">
        <w:t>very of the support provided to </w:t>
      </w:r>
      <w:r>
        <w:t xml:space="preserve">them and the care recipient. </w:t>
      </w:r>
    </w:p>
    <w:p w14:paraId="3405C508" w14:textId="2B0428FB" w:rsidR="007E1CF6" w:rsidRPr="00AE656F" w:rsidRDefault="00306DA7" w:rsidP="00393C6F">
      <w:pPr>
        <w:spacing w:after="240"/>
      </w:pPr>
      <w:r>
        <w:t xml:space="preserve">Carers may also access respite through their care recipient’s packages, including care recipients who are engaged with </w:t>
      </w:r>
      <w:r w:rsidR="00642638">
        <w:t xml:space="preserve">the </w:t>
      </w:r>
      <w:r w:rsidR="00393C6F">
        <w:t>NDIS.</w:t>
      </w:r>
    </w:p>
    <w:p w14:paraId="6602906D" w14:textId="1DE21578" w:rsidR="003E3DCD" w:rsidRPr="00AE656F" w:rsidRDefault="00936EE5" w:rsidP="00A12901">
      <w:pPr>
        <w:pStyle w:val="Heading2"/>
      </w:pPr>
      <w:r w:rsidRPr="007E1CF6">
        <w:t>Research and data</w:t>
      </w:r>
    </w:p>
    <w:tbl>
      <w:tblPr>
        <w:tblStyle w:val="TableGrid"/>
        <w:tblW w:w="0" w:type="auto"/>
        <w:tblLook w:val="04A0" w:firstRow="1" w:lastRow="0" w:firstColumn="1" w:lastColumn="0" w:noHBand="0" w:noVBand="1"/>
        <w:tblDescription w:val="Decorative"/>
      </w:tblPr>
      <w:tblGrid>
        <w:gridCol w:w="9016"/>
      </w:tblGrid>
      <w:tr w:rsidR="007E1CF6" w14:paraId="228F8FC4" w14:textId="77777777" w:rsidTr="007E1CF6">
        <w:tc>
          <w:tcPr>
            <w:tcW w:w="9016" w:type="dxa"/>
          </w:tcPr>
          <w:p w14:paraId="5ED9DA70" w14:textId="77777777" w:rsidR="007E1CF6" w:rsidRPr="00A744E8" w:rsidRDefault="007E1CF6" w:rsidP="007E1CF6">
            <w:pPr>
              <w:jc w:val="both"/>
              <w:rPr>
                <w:b/>
              </w:rPr>
            </w:pPr>
            <w:r w:rsidRPr="00A744E8">
              <w:rPr>
                <w:b/>
              </w:rPr>
              <w:t>Recommendation 26</w:t>
            </w:r>
          </w:p>
          <w:p w14:paraId="669DEC6D" w14:textId="77777777" w:rsidR="007E1CF6" w:rsidRPr="003E1731" w:rsidRDefault="007E1CF6" w:rsidP="007E1CF6">
            <w:pPr>
              <w:rPr>
                <w:b/>
                <w:i/>
              </w:rPr>
            </w:pPr>
            <w:r w:rsidRPr="003E1731">
              <w:t>The committee recommends that a National Autism Research Framework be agreed under the auspices of the National Autism Strategy. This framework should be:</w:t>
            </w:r>
          </w:p>
          <w:p w14:paraId="53840776" w14:textId="77777777" w:rsidR="007E1CF6" w:rsidRPr="003E1731" w:rsidRDefault="007E1CF6" w:rsidP="007E1CF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based, as a starting point, on the research priorities agreed by the Australian Autism Research Council;</w:t>
            </w:r>
          </w:p>
          <w:p w14:paraId="1E05A2F7" w14:textId="77777777" w:rsidR="007E1CF6" w:rsidRDefault="007E1CF6" w:rsidP="007E1CF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informed by the recommendations in this report; and</w:t>
            </w:r>
          </w:p>
          <w:p w14:paraId="2D4DF3D2" w14:textId="11F27881" w:rsidR="007E1CF6" w:rsidRPr="007E1CF6" w:rsidRDefault="007E1CF6" w:rsidP="007E1CF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compatible with the National Disability Research Agenda being developed by the National Disability Research Partnership.</w:t>
            </w:r>
          </w:p>
        </w:tc>
      </w:tr>
    </w:tbl>
    <w:p w14:paraId="3E59A3F0" w14:textId="77777777" w:rsidR="007E1CF6" w:rsidRPr="00AE656F" w:rsidRDefault="007E1CF6" w:rsidP="008337E4"/>
    <w:p w14:paraId="7663CEFC" w14:textId="47A51EE6" w:rsidR="00403FD1" w:rsidRPr="00E83D6D" w:rsidRDefault="005A6783" w:rsidP="00403FD1">
      <w:r>
        <w:rPr>
          <w:b/>
        </w:rPr>
        <w:t xml:space="preserve">Supported </w:t>
      </w:r>
      <w:r w:rsidR="00403FD1" w:rsidRPr="00E83D6D">
        <w:rPr>
          <w:b/>
        </w:rPr>
        <w:t>in principle</w:t>
      </w:r>
    </w:p>
    <w:p w14:paraId="3EA9AB2F" w14:textId="3FF1CF80" w:rsidR="001C35BF" w:rsidRPr="00AE656F" w:rsidRDefault="00E83D6D" w:rsidP="00393C6F">
      <w:pPr>
        <w:spacing w:after="240"/>
      </w:pPr>
      <w:r>
        <w:t xml:space="preserve">A proposed </w:t>
      </w:r>
      <w:r w:rsidR="00403FD1">
        <w:t>National Autism Research Framework will be con</w:t>
      </w:r>
      <w:r w:rsidR="00EB7536">
        <w:t>sidered in the development of a </w:t>
      </w:r>
      <w:r w:rsidR="00403FD1">
        <w:t xml:space="preserve">National Autism Strategy. </w:t>
      </w:r>
    </w:p>
    <w:p w14:paraId="2F1FBA24" w14:textId="41E6440D" w:rsidR="006A5863" w:rsidRPr="00393C6F" w:rsidRDefault="00704BED" w:rsidP="00393C6F">
      <w:pPr>
        <w:autoSpaceDE w:val="0"/>
        <w:autoSpaceDN w:val="0"/>
        <w:spacing w:before="60" w:after="240"/>
        <w:ind w:right="717"/>
      </w:pPr>
      <w:r w:rsidRPr="00704BED">
        <w:t xml:space="preserve">The </w:t>
      </w:r>
      <w:r w:rsidR="00B62FDB">
        <w:t xml:space="preserve">Australian </w:t>
      </w:r>
      <w:r w:rsidRPr="00704BED">
        <w:t xml:space="preserve">Government </w:t>
      </w:r>
      <w:r w:rsidRPr="006F5736">
        <w:t>supports the committee recommendation that the proposed National Autism Research Framework</w:t>
      </w:r>
      <w:r w:rsidRPr="00704BED">
        <w:t xml:space="preserve"> </w:t>
      </w:r>
      <w:r w:rsidR="00EB7536">
        <w:t>be compatible with the National </w:t>
      </w:r>
      <w:r w:rsidRPr="00704BED">
        <w:t>Disability Research Agenda</w:t>
      </w:r>
      <w:r w:rsidR="00065A76">
        <w:t xml:space="preserve"> (NDRA)</w:t>
      </w:r>
      <w:r w:rsidRPr="00704BED">
        <w:t xml:space="preserve"> </w:t>
      </w:r>
      <w:r w:rsidR="00EB7536">
        <w:t>being developed by the National </w:t>
      </w:r>
      <w:r w:rsidRPr="00704BED">
        <w:t xml:space="preserve">Disability </w:t>
      </w:r>
      <w:r w:rsidRPr="003B0977">
        <w:t>Research Partnership (NDRP).</w:t>
      </w:r>
    </w:p>
    <w:p w14:paraId="2F3627F1" w14:textId="77777777" w:rsidR="006A5863" w:rsidRPr="006A5863" w:rsidRDefault="00704BED" w:rsidP="00974742">
      <w:pPr>
        <w:pStyle w:val="ListParagraph"/>
        <w:numPr>
          <w:ilvl w:val="0"/>
          <w:numId w:val="7"/>
        </w:numPr>
        <w:spacing w:after="0" w:line="240" w:lineRule="auto"/>
        <w:ind w:left="714" w:hanging="357"/>
        <w:contextualSpacing w:val="0"/>
        <w:rPr>
          <w:rFonts w:ascii="Times New Roman" w:hAnsi="Times New Roman" w:cs="Times New Roman"/>
          <w:sz w:val="24"/>
          <w:szCs w:val="24"/>
        </w:rPr>
      </w:pPr>
      <w:r w:rsidRPr="006A5863">
        <w:rPr>
          <w:rFonts w:ascii="Times New Roman" w:hAnsi="Times New Roman" w:cs="Times New Roman"/>
          <w:sz w:val="24"/>
          <w:szCs w:val="24"/>
        </w:rPr>
        <w:t>The NDRP, once fully established, will facilitate a collaborative and inclusive research agenda through partnerships between academics, people with disability, their families and carers, peak advocacy groups, governments and service providers.</w:t>
      </w:r>
    </w:p>
    <w:p w14:paraId="7F64FD65" w14:textId="35B33312" w:rsidR="006F5736" w:rsidRDefault="00704BED" w:rsidP="00974742">
      <w:pPr>
        <w:pStyle w:val="ListParagraph"/>
        <w:numPr>
          <w:ilvl w:val="0"/>
          <w:numId w:val="7"/>
        </w:numPr>
        <w:spacing w:after="0" w:line="240" w:lineRule="auto"/>
        <w:ind w:left="714" w:hanging="357"/>
        <w:contextualSpacing w:val="0"/>
        <w:rPr>
          <w:rFonts w:ascii="Times New Roman" w:hAnsi="Times New Roman" w:cs="Times New Roman"/>
          <w:sz w:val="24"/>
          <w:szCs w:val="24"/>
        </w:rPr>
      </w:pPr>
      <w:r w:rsidRPr="006A5863">
        <w:rPr>
          <w:rFonts w:ascii="Times New Roman" w:hAnsi="Times New Roman" w:cs="Times New Roman"/>
          <w:sz w:val="24"/>
          <w:szCs w:val="24"/>
        </w:rPr>
        <w:t xml:space="preserve">The NDRP will also facilitate the translation of disability research into policy and practice and enhance the research capacity of the disability sector. </w:t>
      </w:r>
    </w:p>
    <w:p w14:paraId="40AA1AA3" w14:textId="606D611F" w:rsidR="007E1CF6" w:rsidRDefault="007E1CF6" w:rsidP="007E1CF6">
      <w:pPr>
        <w:spacing w:after="160" w:line="259" w:lineRule="auto"/>
      </w:pPr>
      <w:r>
        <w:br w:type="page"/>
      </w:r>
    </w:p>
    <w:tbl>
      <w:tblPr>
        <w:tblStyle w:val="TableGrid"/>
        <w:tblW w:w="0" w:type="auto"/>
        <w:tblLook w:val="04A0" w:firstRow="1" w:lastRow="0" w:firstColumn="1" w:lastColumn="0" w:noHBand="0" w:noVBand="1"/>
        <w:tblDescription w:val="Decorative"/>
      </w:tblPr>
      <w:tblGrid>
        <w:gridCol w:w="9016"/>
      </w:tblGrid>
      <w:tr w:rsidR="007E1CF6" w14:paraId="37A61AC9" w14:textId="77777777" w:rsidTr="007E1CF6">
        <w:tc>
          <w:tcPr>
            <w:tcW w:w="9016" w:type="dxa"/>
          </w:tcPr>
          <w:p w14:paraId="049DF61F" w14:textId="77777777" w:rsidR="007E1CF6" w:rsidRPr="00A744E8" w:rsidRDefault="007E1CF6" w:rsidP="007E1CF6">
            <w:pPr>
              <w:jc w:val="both"/>
              <w:rPr>
                <w:b/>
              </w:rPr>
            </w:pPr>
            <w:r w:rsidRPr="00A744E8">
              <w:rPr>
                <w:b/>
              </w:rPr>
              <w:lastRenderedPageBreak/>
              <w:t>Recommendation</w:t>
            </w:r>
            <w:r w:rsidRPr="00A744E8">
              <w:rPr>
                <w:b/>
                <w:spacing w:val="-7"/>
              </w:rPr>
              <w:t xml:space="preserve"> </w:t>
            </w:r>
            <w:r w:rsidRPr="00A744E8">
              <w:rPr>
                <w:b/>
              </w:rPr>
              <w:t>27</w:t>
            </w:r>
          </w:p>
          <w:p w14:paraId="3AF7B40A" w14:textId="77777777" w:rsidR="007E1CF6" w:rsidRPr="003E1731" w:rsidRDefault="007E1CF6" w:rsidP="007E1CF6">
            <w:pPr>
              <w:widowControl w:val="0"/>
              <w:tabs>
                <w:tab w:val="left" w:pos="454"/>
              </w:tabs>
              <w:autoSpaceDE w:val="0"/>
              <w:autoSpaceDN w:val="0"/>
              <w:spacing w:before="60"/>
              <w:ind w:right="715"/>
            </w:pPr>
            <w:r w:rsidRPr="003E1731">
              <w:t>The committee recommends that the taskforce established to develop the National Autism Strategy investigate options for improving the collection of data about autistic people to better inform research, policy and practice in relation to improving life outcomes for autistic people. This should</w:t>
            </w:r>
            <w:r w:rsidRPr="003E1731">
              <w:rPr>
                <w:spacing w:val="-26"/>
              </w:rPr>
              <w:t xml:space="preserve"> </w:t>
            </w:r>
            <w:r w:rsidRPr="003E1731">
              <w:t>include:</w:t>
            </w:r>
          </w:p>
          <w:p w14:paraId="4BC2C6FD" w14:textId="77777777" w:rsidR="007E1CF6" w:rsidRPr="003E1731" w:rsidRDefault="007E1CF6" w:rsidP="007E1CF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exploring the feasibility of establishing a National Autism Register;</w:t>
            </w:r>
          </w:p>
          <w:p w14:paraId="0A58AC35" w14:textId="77777777" w:rsidR="007E1CF6" w:rsidRPr="003E1731" w:rsidRDefault="007E1CF6" w:rsidP="007E1CF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engaging with the Disability Advisory Council to ensure any proposed activities build on (or are compatible with) the results of the National Disability Data Asset pilots;</w:t>
            </w:r>
          </w:p>
          <w:p w14:paraId="44C29267" w14:textId="77777777" w:rsidR="007E1CF6" w:rsidRDefault="007E1CF6" w:rsidP="007E1CF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engaging with the Disability Advisory Council to ensure that data needs in relation to autistic people are adequately represented in any future National Disability Data Asset; and</w:t>
            </w:r>
          </w:p>
          <w:p w14:paraId="0C65C793" w14:textId="1599B507" w:rsidR="007E1CF6" w:rsidRPr="007E1CF6" w:rsidRDefault="007E1CF6" w:rsidP="007E1CF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identifying any gaps in data collection that will not be met by the National Disability Data Asset.</w:t>
            </w:r>
          </w:p>
        </w:tc>
      </w:tr>
    </w:tbl>
    <w:p w14:paraId="607FCCF3" w14:textId="381C71C2" w:rsidR="008337E4" w:rsidRPr="00AE656F" w:rsidRDefault="008337E4" w:rsidP="008337E4"/>
    <w:p w14:paraId="57CA1309" w14:textId="308A68ED" w:rsidR="00403FD1" w:rsidRPr="00EF1B28" w:rsidRDefault="00403FD1" w:rsidP="00403FD1">
      <w:r w:rsidRPr="00EF1B28">
        <w:rPr>
          <w:b/>
        </w:rPr>
        <w:t>Support</w:t>
      </w:r>
      <w:r w:rsidR="005A6783">
        <w:rPr>
          <w:b/>
        </w:rPr>
        <w:t>ed</w:t>
      </w:r>
      <w:r w:rsidRPr="00EF1B28">
        <w:rPr>
          <w:b/>
        </w:rPr>
        <w:t xml:space="preserve"> in principle</w:t>
      </w:r>
      <w:r w:rsidR="00EF1B28">
        <w:rPr>
          <w:b/>
        </w:rPr>
        <w:t xml:space="preserve"> </w:t>
      </w:r>
    </w:p>
    <w:p w14:paraId="1F8EFDF0" w14:textId="4B5D2BE5" w:rsidR="007E1CF6" w:rsidRPr="00AE656F" w:rsidRDefault="00403FD1" w:rsidP="00974742">
      <w:pPr>
        <w:spacing w:after="240"/>
      </w:pPr>
      <w:r>
        <w:t>The investigation of options for improving the collection o</w:t>
      </w:r>
      <w:r w:rsidR="003B0977">
        <w:t>f data about autistic people to </w:t>
      </w:r>
      <w:r>
        <w:t>inform research, policy and practice to improve life outco</w:t>
      </w:r>
      <w:r w:rsidR="003B0977">
        <w:t>mes for autistic people will be </w:t>
      </w:r>
      <w:r>
        <w:t>considered in the development of a National Autism Strategy</w:t>
      </w:r>
      <w:r w:rsidR="00F57C89">
        <w:t>.</w:t>
      </w:r>
      <w:r>
        <w:t xml:space="preserve"> </w:t>
      </w:r>
    </w:p>
    <w:p w14:paraId="649B205B" w14:textId="18542279" w:rsidR="00642FAA" w:rsidRPr="00065A76" w:rsidRDefault="00642FAA" w:rsidP="00974742">
      <w:pPr>
        <w:spacing w:after="240"/>
      </w:pPr>
      <w:r w:rsidRPr="00A0572F">
        <w:t xml:space="preserve">The </w:t>
      </w:r>
      <w:r w:rsidR="00EF1B28">
        <w:t>Australian</w:t>
      </w:r>
      <w:r w:rsidRPr="00A0572F">
        <w:t xml:space="preserve"> and state and territory governments ar</w:t>
      </w:r>
      <w:r w:rsidR="003B0977">
        <w:t>e working together to develop a </w:t>
      </w:r>
      <w:r w:rsidRPr="00A0572F">
        <w:t>National Disability Data Asset (NDDA). The NDDA project proposes t</w:t>
      </w:r>
      <w:r w:rsidR="005A6783">
        <w:t>o establish a </w:t>
      </w:r>
      <w:r w:rsidRPr="00A0572F">
        <w:t>collection of linked de-identified data held by governments and covering multiple servic</w:t>
      </w:r>
      <w:r w:rsidR="005A6783">
        <w:t>e systems. The aim is to better understand</w:t>
      </w:r>
      <w:r w:rsidRPr="00A0572F">
        <w:t xml:space="preserve"> how people with disability are supported through </w:t>
      </w:r>
      <w:r w:rsidRPr="00065A76">
        <w:t>services, payments and programs, and what outcomes are experienced. The NDDA project will build on the findings of the 18-month NDDA Pil</w:t>
      </w:r>
      <w:r w:rsidR="003B0977">
        <w:t>ot phase, which concluded on </w:t>
      </w:r>
      <w:r w:rsidR="005A6783" w:rsidRPr="00065A76">
        <w:t>31 </w:t>
      </w:r>
      <w:r w:rsidRPr="00065A76">
        <w:t xml:space="preserve">December </w:t>
      </w:r>
      <w:r w:rsidR="00974742">
        <w:t>2021.</w:t>
      </w:r>
    </w:p>
    <w:p w14:paraId="65EE67B1" w14:textId="27E39F33" w:rsidR="00704BED" w:rsidRPr="00065A76" w:rsidRDefault="00642FAA" w:rsidP="00974742">
      <w:pPr>
        <w:spacing w:after="240"/>
      </w:pPr>
      <w:r w:rsidRPr="00065A76">
        <w:t>The NDDA project is intended to be a truly national project involving collaboration between all governments and with the disability community. Engagement with the disability community for the NDDA project will be informed by the D</w:t>
      </w:r>
      <w:r w:rsidR="00F24DEA">
        <w:t xml:space="preserve">isability </w:t>
      </w:r>
      <w:r w:rsidRPr="00065A76">
        <w:t>A</w:t>
      </w:r>
      <w:r w:rsidR="00F24DEA">
        <w:t xml:space="preserve">dvisory </w:t>
      </w:r>
      <w:r w:rsidRPr="00065A76">
        <w:t>C</w:t>
      </w:r>
      <w:r w:rsidR="00F24DEA">
        <w:t>ouncil</w:t>
      </w:r>
      <w:r w:rsidR="00974742">
        <w:t xml:space="preserve"> recommendations.</w:t>
      </w:r>
    </w:p>
    <w:p w14:paraId="67EEC05B" w14:textId="20548F26" w:rsidR="00A96BB9" w:rsidRDefault="00704BED" w:rsidP="00974742">
      <w:pPr>
        <w:spacing w:after="240"/>
      </w:pPr>
      <w:r w:rsidRPr="00065A76">
        <w:t>The</w:t>
      </w:r>
      <w:r w:rsidR="00B62FDB" w:rsidRPr="00065A76">
        <w:t xml:space="preserve"> Australian</w:t>
      </w:r>
      <w:r w:rsidR="006562E8">
        <w:t xml:space="preserve"> Government notes that</w:t>
      </w:r>
      <w:r w:rsidRPr="00065A76">
        <w:t xml:space="preserve"> in the process </w:t>
      </w:r>
      <w:r w:rsidR="00C82D88">
        <w:t>of exploring the feasibility of </w:t>
      </w:r>
      <w:r w:rsidRPr="00065A76">
        <w:t xml:space="preserve">establishing a National Autism Register, consideration </w:t>
      </w:r>
      <w:r w:rsidR="00184879">
        <w:t>will be</w:t>
      </w:r>
      <w:r w:rsidR="00184879" w:rsidRPr="00065A76">
        <w:t xml:space="preserve"> </w:t>
      </w:r>
      <w:r w:rsidRPr="00065A76">
        <w:t>gi</w:t>
      </w:r>
      <w:r w:rsidR="005A6783" w:rsidRPr="00065A76">
        <w:t>ven to the potential scope of a </w:t>
      </w:r>
      <w:r w:rsidRPr="00065A76">
        <w:t>register (</w:t>
      </w:r>
      <w:r w:rsidR="005A6783" w:rsidRPr="00065A76">
        <w:t xml:space="preserve">i.e.: </w:t>
      </w:r>
      <w:r w:rsidRPr="00065A76">
        <w:t>collection of administrat</w:t>
      </w:r>
      <w:r w:rsidR="00142C32" w:rsidRPr="00065A76">
        <w:t>ive data only) compared to th</w:t>
      </w:r>
      <w:r w:rsidR="00C82D88">
        <w:t>e scope of an </w:t>
      </w:r>
      <w:r w:rsidRPr="00065A76">
        <w:t>outcomes registry (</w:t>
      </w:r>
      <w:r w:rsidR="005A6783" w:rsidRPr="00065A76">
        <w:t xml:space="preserve">i.e.: </w:t>
      </w:r>
      <w:r w:rsidRPr="00065A76">
        <w:t xml:space="preserve">collection of outcomes data for the purpose of evaluating and improving life outcomes for autistic people). </w:t>
      </w:r>
      <w:r w:rsidR="00184879">
        <w:t>Consideration will also be given to</w:t>
      </w:r>
      <w:r w:rsidRPr="00065A76">
        <w:t xml:space="preserve"> pilot</w:t>
      </w:r>
      <w:r w:rsidR="00184879">
        <w:t>ing how</w:t>
      </w:r>
      <w:r w:rsidRPr="00065A76">
        <w:t xml:space="preserve"> NDIS data </w:t>
      </w:r>
      <w:r w:rsidR="00184879">
        <w:t xml:space="preserve">may be used better </w:t>
      </w:r>
      <w:r w:rsidRPr="00065A76">
        <w:t xml:space="preserve">to </w:t>
      </w:r>
      <w:r w:rsidR="00184879">
        <w:t xml:space="preserve">inform research, policy and practice to improve life outcomes for autistic </w:t>
      </w:r>
      <w:r w:rsidR="006E30A4">
        <w:t xml:space="preserve">people </w:t>
      </w:r>
      <w:r w:rsidR="006E30A4" w:rsidRPr="00065A76">
        <w:t>and</w:t>
      </w:r>
      <w:r w:rsidRPr="00065A76">
        <w:t xml:space="preserve"> to identify gaps in current collections. </w:t>
      </w:r>
    </w:p>
    <w:p w14:paraId="00F91C2D" w14:textId="36FDCBF6" w:rsidR="00A96BB9" w:rsidRPr="005E0632" w:rsidRDefault="00A96BB9" w:rsidP="00974742">
      <w:pPr>
        <w:spacing w:after="240"/>
      </w:pPr>
      <w:r w:rsidRPr="00DD431C">
        <w:t>Governments are committed to working together alongside people with disability, communities, businesses and the non-government sector to i</w:t>
      </w:r>
      <w:r w:rsidR="00C82D88">
        <w:t xml:space="preserve">mplement </w:t>
      </w:r>
      <w:r w:rsidR="00C82D88" w:rsidRPr="00C82D88">
        <w:t>Australia’s Disability </w:t>
      </w:r>
      <w:r w:rsidRPr="00C82D88">
        <w:t>Strategy and realise its vision in a coordinated and targeted wa</w:t>
      </w:r>
      <w:r w:rsidR="00C82D88" w:rsidRPr="00C82D88">
        <w:t>y. This </w:t>
      </w:r>
      <w:r w:rsidRPr="00C82D88">
        <w:t xml:space="preserve">includes the implementation of an Outcomes Framework to track progress against </w:t>
      </w:r>
      <w:r w:rsidR="00F57C89" w:rsidRPr="00C82D88">
        <w:t xml:space="preserve">Australia’s Disability </w:t>
      </w:r>
      <w:r w:rsidRPr="00C82D88">
        <w:t>Strategy, a data strategy to support regular reporting and improvements to evaluation and research.</w:t>
      </w:r>
    </w:p>
    <w:p w14:paraId="71123253" w14:textId="7CAC1B66" w:rsidR="00A96BB9" w:rsidRPr="005E0632" w:rsidRDefault="009E27B7" w:rsidP="009E27B7">
      <w:pPr>
        <w:spacing w:after="160" w:line="259" w:lineRule="auto"/>
      </w:pPr>
      <w:r>
        <w:br w:type="page"/>
      </w:r>
    </w:p>
    <w:p w14:paraId="6ED4E63E" w14:textId="49B3B8EE" w:rsidR="00C82D88" w:rsidRPr="005E0632" w:rsidRDefault="00A96BB9" w:rsidP="00974742">
      <w:pPr>
        <w:spacing w:after="240"/>
      </w:pPr>
      <w:r w:rsidRPr="005E0632">
        <w:lastRenderedPageBreak/>
        <w:t>Under the Outcomes Framework, governments agree</w:t>
      </w:r>
      <w:r w:rsidR="00C82D88">
        <w:t>d to work together to develop a </w:t>
      </w:r>
      <w:r w:rsidRPr="005E0632">
        <w:t>comprehensive data improvement plan (DIP) in 2022, which would:</w:t>
      </w:r>
    </w:p>
    <w:p w14:paraId="7E57C0CB" w14:textId="70E7C8CC" w:rsidR="00A96BB9" w:rsidRPr="00F57C89" w:rsidRDefault="00A96BB9" w:rsidP="00974742">
      <w:pPr>
        <w:pStyle w:val="ListParagraph"/>
        <w:numPr>
          <w:ilvl w:val="0"/>
          <w:numId w:val="7"/>
        </w:numPr>
        <w:spacing w:after="0" w:line="240" w:lineRule="auto"/>
        <w:ind w:left="714" w:hanging="357"/>
        <w:rPr>
          <w:rFonts w:ascii="Times New Roman" w:hAnsi="Times New Roman" w:cs="Times New Roman"/>
          <w:sz w:val="24"/>
          <w:szCs w:val="24"/>
        </w:rPr>
      </w:pPr>
      <w:r w:rsidRPr="005E0632">
        <w:rPr>
          <w:rFonts w:ascii="Times New Roman" w:hAnsi="Times New Roman" w:cs="Times New Roman"/>
          <w:sz w:val="24"/>
          <w:szCs w:val="24"/>
        </w:rPr>
        <w:t xml:space="preserve">Ensure data needed to measure outcomes for people with disability is collected, shared, and progressively improved over the life of </w:t>
      </w:r>
      <w:r w:rsidR="00F57C89" w:rsidRPr="00F57C89">
        <w:rPr>
          <w:rFonts w:ascii="Times New Roman" w:hAnsi="Times New Roman" w:cs="Times New Roman"/>
          <w:sz w:val="24"/>
          <w:szCs w:val="24"/>
        </w:rPr>
        <w:t xml:space="preserve">Australia’s Disability </w:t>
      </w:r>
      <w:r w:rsidRPr="005E0632">
        <w:rPr>
          <w:rFonts w:ascii="Times New Roman" w:hAnsi="Times New Roman" w:cs="Times New Roman"/>
          <w:sz w:val="24"/>
          <w:szCs w:val="24"/>
        </w:rPr>
        <w:t xml:space="preserve">Strategy. </w:t>
      </w:r>
    </w:p>
    <w:p w14:paraId="078C20F0" w14:textId="070F2410" w:rsidR="00A96BB9" w:rsidRPr="00C82D88" w:rsidRDefault="00A96BB9" w:rsidP="00C82D88">
      <w:pPr>
        <w:pStyle w:val="ListParagraph"/>
        <w:numPr>
          <w:ilvl w:val="0"/>
          <w:numId w:val="7"/>
        </w:numPr>
        <w:spacing w:after="0" w:line="240" w:lineRule="auto"/>
        <w:ind w:left="714" w:hanging="357"/>
        <w:rPr>
          <w:rFonts w:ascii="Times New Roman" w:hAnsi="Times New Roman" w:cs="Times New Roman"/>
          <w:sz w:val="24"/>
          <w:szCs w:val="24"/>
        </w:rPr>
      </w:pPr>
      <w:r w:rsidRPr="005E0632">
        <w:rPr>
          <w:rFonts w:ascii="Times New Roman" w:hAnsi="Times New Roman" w:cs="Times New Roman"/>
          <w:sz w:val="24"/>
          <w:szCs w:val="24"/>
        </w:rPr>
        <w:t xml:space="preserve">Identify where data needs to be linked between systems to improve our understanding of the impact of </w:t>
      </w:r>
      <w:r w:rsidR="00F57C89" w:rsidRPr="00F57C89">
        <w:rPr>
          <w:rFonts w:ascii="Times New Roman" w:hAnsi="Times New Roman" w:cs="Times New Roman"/>
          <w:sz w:val="24"/>
          <w:szCs w:val="24"/>
        </w:rPr>
        <w:t xml:space="preserve">Australia’s Disability </w:t>
      </w:r>
      <w:r w:rsidRPr="005E0632">
        <w:rPr>
          <w:rFonts w:ascii="Times New Roman" w:hAnsi="Times New Roman" w:cs="Times New Roman"/>
          <w:sz w:val="24"/>
          <w:szCs w:val="24"/>
        </w:rPr>
        <w:t xml:space="preserve">Strategy. </w:t>
      </w:r>
    </w:p>
    <w:p w14:paraId="108E5D1F" w14:textId="3C780148" w:rsidR="00974742" w:rsidRPr="00974742" w:rsidRDefault="00A96BB9" w:rsidP="00974742">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5E0632">
        <w:rPr>
          <w:rFonts w:ascii="Times New Roman" w:hAnsi="Times New Roman" w:cs="Times New Roman"/>
          <w:sz w:val="24"/>
          <w:szCs w:val="24"/>
        </w:rPr>
        <w:t xml:space="preserve">The purpose of the DIP is to maintain and improve the </w:t>
      </w:r>
      <w:r w:rsidR="00DF1D1B">
        <w:rPr>
          <w:rFonts w:ascii="Times New Roman" w:hAnsi="Times New Roman" w:cs="Times New Roman"/>
          <w:sz w:val="24"/>
          <w:szCs w:val="24"/>
        </w:rPr>
        <w:t>level of data quality needed to </w:t>
      </w:r>
      <w:r w:rsidRPr="005E0632">
        <w:rPr>
          <w:rFonts w:ascii="Times New Roman" w:hAnsi="Times New Roman" w:cs="Times New Roman"/>
          <w:sz w:val="24"/>
          <w:szCs w:val="24"/>
        </w:rPr>
        <w:t>continually improve the outcomes for people with disability.</w:t>
      </w:r>
    </w:p>
    <w:tbl>
      <w:tblPr>
        <w:tblStyle w:val="TableGrid"/>
        <w:tblW w:w="0" w:type="auto"/>
        <w:tblLook w:val="04A0" w:firstRow="1" w:lastRow="0" w:firstColumn="1" w:lastColumn="0" w:noHBand="0" w:noVBand="1"/>
        <w:tblDescription w:val="Decorative"/>
      </w:tblPr>
      <w:tblGrid>
        <w:gridCol w:w="9016"/>
      </w:tblGrid>
      <w:tr w:rsidR="007E1CF6" w14:paraId="567E748A" w14:textId="77777777" w:rsidTr="007E1CF6">
        <w:tc>
          <w:tcPr>
            <w:tcW w:w="9016" w:type="dxa"/>
          </w:tcPr>
          <w:p w14:paraId="4D34A84E" w14:textId="77777777" w:rsidR="007E1CF6" w:rsidRPr="007E1CF6" w:rsidRDefault="007E1CF6" w:rsidP="007E1CF6">
            <w:pPr>
              <w:spacing w:before="1" w:line="276" w:lineRule="auto"/>
              <w:jc w:val="both"/>
              <w:rPr>
                <w:b/>
              </w:rPr>
            </w:pPr>
            <w:r w:rsidRPr="007E1CF6">
              <w:rPr>
                <w:b/>
              </w:rPr>
              <w:t>Recommendation 28</w:t>
            </w:r>
          </w:p>
          <w:p w14:paraId="0B910BCD" w14:textId="782992FF" w:rsidR="007E1CF6" w:rsidRDefault="007E1CF6" w:rsidP="007E1CF6">
            <w:pPr>
              <w:rPr>
                <w:b/>
              </w:rPr>
            </w:pPr>
            <w:r w:rsidRPr="003E1731">
              <w:t>The committee recommends that the Australian Government prioritise autism research as part of the National Disability Research Agenda and National Disability Data Asset, given that autism represents the most prevalent (and fastest growing) primary disability type in the NDIS. This should include the creation of separate autism-specific funding streams within existing research grant programs.</w:t>
            </w:r>
          </w:p>
        </w:tc>
      </w:tr>
    </w:tbl>
    <w:p w14:paraId="3816805F" w14:textId="77777777" w:rsidR="007E1CF6" w:rsidRPr="00295365" w:rsidRDefault="007E1CF6" w:rsidP="003E3DCD"/>
    <w:p w14:paraId="0B9EB032" w14:textId="7F998A18" w:rsidR="00065A76" w:rsidRDefault="00065A76" w:rsidP="003E3DCD">
      <w:pPr>
        <w:rPr>
          <w:b/>
        </w:rPr>
      </w:pPr>
      <w:r>
        <w:rPr>
          <w:b/>
        </w:rPr>
        <w:t xml:space="preserve">Supported in principle </w:t>
      </w:r>
    </w:p>
    <w:p w14:paraId="3754895E" w14:textId="0AA8953F" w:rsidR="003E3DCD" w:rsidRPr="00A0572F" w:rsidRDefault="003E3DCD" w:rsidP="00974742">
      <w:pPr>
        <w:spacing w:after="240"/>
      </w:pPr>
      <w:r w:rsidRPr="00C43998">
        <w:t>In relation to the</w:t>
      </w:r>
      <w:r w:rsidR="00302ED4" w:rsidRPr="00C43998">
        <w:t xml:space="preserve"> National Disability Data Asset</w:t>
      </w:r>
      <w:r w:rsidRPr="00C43998">
        <w:t xml:space="preserve"> </w:t>
      </w:r>
      <w:r w:rsidR="00302ED4" w:rsidRPr="00C43998">
        <w:t>(</w:t>
      </w:r>
      <w:r w:rsidR="00065A76" w:rsidRPr="00C43998">
        <w:t>NDDA</w:t>
      </w:r>
      <w:r w:rsidR="00302ED4" w:rsidRPr="00C43998">
        <w:t>)</w:t>
      </w:r>
      <w:r w:rsidRPr="00C43998">
        <w:t xml:space="preserve">, the Disability </w:t>
      </w:r>
      <w:r w:rsidR="00065A76" w:rsidRPr="00C43998">
        <w:t>Reform Ministers’ Meeting</w:t>
      </w:r>
      <w:r w:rsidRPr="00C43998">
        <w:t xml:space="preserve"> has agreed the first three national priorities for data sharing and analysis:</w:t>
      </w:r>
    </w:p>
    <w:p w14:paraId="4126B2BD" w14:textId="1EAB7CD9" w:rsidR="003E3DCD" w:rsidRPr="00A0572F" w:rsidRDefault="00DF1D1B" w:rsidP="00DF1D1B">
      <w:pPr>
        <w:numPr>
          <w:ilvl w:val="2"/>
          <w:numId w:val="11"/>
        </w:numPr>
        <w:spacing w:after="200" w:line="276" w:lineRule="auto"/>
        <w:ind w:left="851" w:hanging="357"/>
        <w:contextualSpacing/>
      </w:pPr>
      <w:r>
        <w:t xml:space="preserve">Reporting obligations for the </w:t>
      </w:r>
      <w:r w:rsidR="003E3DCD" w:rsidRPr="00A0572F">
        <w:t>Australia’s Disability Strategy</w:t>
      </w:r>
      <w:r w:rsidR="00065A76">
        <w:t>,</w:t>
      </w:r>
      <w:r w:rsidR="003E3DCD" w:rsidRPr="00A0572F">
        <w:t xml:space="preserve"> Outcomes Framework</w:t>
      </w:r>
      <w:r w:rsidR="00065A76">
        <w:t>;</w:t>
      </w:r>
    </w:p>
    <w:p w14:paraId="04A3E377" w14:textId="14529100" w:rsidR="003E3DCD" w:rsidRPr="00A0572F" w:rsidRDefault="003E3DCD" w:rsidP="00DF1D1B">
      <w:pPr>
        <w:numPr>
          <w:ilvl w:val="2"/>
          <w:numId w:val="11"/>
        </w:numPr>
        <w:spacing w:after="200" w:line="276" w:lineRule="auto"/>
        <w:ind w:left="851" w:hanging="357"/>
        <w:contextualSpacing/>
      </w:pPr>
      <w:r w:rsidRPr="00A0572F">
        <w:t>Health outc</w:t>
      </w:r>
      <w:r w:rsidR="00065A76">
        <w:t>omes for people with disability;</w:t>
      </w:r>
      <w:r w:rsidRPr="00A0572F">
        <w:t xml:space="preserve"> and</w:t>
      </w:r>
    </w:p>
    <w:p w14:paraId="7EEA0674" w14:textId="5DDFED9E" w:rsidR="003E3DCD" w:rsidRPr="00A0572F" w:rsidRDefault="003E3DCD" w:rsidP="00974742">
      <w:pPr>
        <w:numPr>
          <w:ilvl w:val="2"/>
          <w:numId w:val="11"/>
        </w:numPr>
        <w:spacing w:after="240" w:line="276" w:lineRule="auto"/>
        <w:ind w:left="851" w:hanging="357"/>
      </w:pPr>
      <w:r w:rsidRPr="00A0572F">
        <w:t>Employment outcomes for people with disability.</w:t>
      </w:r>
    </w:p>
    <w:p w14:paraId="21A3AC01" w14:textId="23AB009B" w:rsidR="005A6783" w:rsidRPr="00DF1D1B" w:rsidRDefault="003E3DCD" w:rsidP="00974742">
      <w:pPr>
        <w:spacing w:after="240"/>
      </w:pPr>
      <w:r w:rsidRPr="00A0572F">
        <w:t>It is proposed that future research priorities would be determined via the NDDA go</w:t>
      </w:r>
      <w:r w:rsidR="00065A76">
        <w:t>vernance forum, to be established,</w:t>
      </w:r>
      <w:r w:rsidRPr="00A0572F">
        <w:t xml:space="preserve"> that will include formal input and oversight by disability community representatives.</w:t>
      </w:r>
    </w:p>
    <w:p w14:paraId="0ECE72D1" w14:textId="2B447ADF" w:rsidR="005A6783" w:rsidRDefault="00065A76" w:rsidP="00974742">
      <w:pPr>
        <w:spacing w:after="240"/>
      </w:pPr>
      <w:r>
        <w:t xml:space="preserve">In relation to the </w:t>
      </w:r>
      <w:r w:rsidR="003F3098">
        <w:t>National </w:t>
      </w:r>
      <w:r w:rsidR="003F3098" w:rsidRPr="00704BED">
        <w:t>Disability Research Agenda</w:t>
      </w:r>
      <w:r w:rsidR="003F3098">
        <w:t xml:space="preserve"> (</w:t>
      </w:r>
      <w:r>
        <w:t>NDRA</w:t>
      </w:r>
      <w:r w:rsidR="003F3098">
        <w:t>)</w:t>
      </w:r>
      <w:r w:rsidR="005A6783">
        <w:t>, the Melbourne Disability Institute (MDI) is developing</w:t>
      </w:r>
      <w:r w:rsidR="00A0552E">
        <w:t xml:space="preserve"> a proposed NDRA </w:t>
      </w:r>
      <w:r w:rsidR="005A6783">
        <w:t xml:space="preserve">as part of </w:t>
      </w:r>
      <w:r w:rsidR="00AB320C">
        <w:t xml:space="preserve">work supported by </w:t>
      </w:r>
      <w:r w:rsidR="003F3098">
        <w:t>Australian </w:t>
      </w:r>
      <w:r w:rsidR="005A6783">
        <w:t>Government establishment funding for an independently go</w:t>
      </w:r>
      <w:r>
        <w:t xml:space="preserve">verned </w:t>
      </w:r>
      <w:r w:rsidR="003F3098">
        <w:t>National </w:t>
      </w:r>
      <w:r w:rsidR="003F3098" w:rsidRPr="00704BED">
        <w:t xml:space="preserve">Disability </w:t>
      </w:r>
      <w:r w:rsidR="003F3098" w:rsidRPr="003B0977">
        <w:t xml:space="preserve">Research Partnership </w:t>
      </w:r>
      <w:r w:rsidR="003F3098">
        <w:t>(</w:t>
      </w:r>
      <w:r>
        <w:t>NDRP</w:t>
      </w:r>
      <w:r w:rsidR="003F3098">
        <w:t>)</w:t>
      </w:r>
      <w:r w:rsidR="005A6783">
        <w:t>. MDI’s work is being guided by a working party made up of people with disability, researchers from some of Australia’s leading universities and independent advisors.</w:t>
      </w:r>
    </w:p>
    <w:p w14:paraId="29003794" w14:textId="4830020A" w:rsidR="005A6783" w:rsidRPr="00DF1D1B" w:rsidRDefault="005A6783" w:rsidP="00974742">
      <w:pPr>
        <w:spacing w:after="240"/>
      </w:pPr>
      <w:r>
        <w:t>The NDRP will independently implement the research agenda</w:t>
      </w:r>
      <w:r w:rsidR="003F3098">
        <w:t xml:space="preserve"> after developing priorities in </w:t>
      </w:r>
      <w:r>
        <w:t>consultation with the whole disability sector.</w:t>
      </w:r>
    </w:p>
    <w:p w14:paraId="2ADD5D32" w14:textId="44CD5594" w:rsidR="00F52A3D" w:rsidRDefault="007E1CF6" w:rsidP="007E1CF6">
      <w:pPr>
        <w:spacing w:after="160" w:line="259" w:lineRule="auto"/>
        <w:rPr>
          <w:b/>
          <w:sz w:val="28"/>
          <w:szCs w:val="28"/>
          <w:u w:val="single"/>
        </w:rPr>
      </w:pPr>
      <w:r>
        <w:rPr>
          <w:b/>
          <w:sz w:val="28"/>
          <w:szCs w:val="28"/>
          <w:u w:val="single"/>
        </w:rPr>
        <w:br w:type="page"/>
      </w:r>
    </w:p>
    <w:p w14:paraId="4B1E4720" w14:textId="18671BD9" w:rsidR="00974742" w:rsidRPr="00974742" w:rsidRDefault="00936EE5" w:rsidP="005127ED">
      <w:pPr>
        <w:pStyle w:val="Heading2"/>
      </w:pPr>
      <w:r w:rsidRPr="007E1CF6">
        <w:lastRenderedPageBreak/>
        <w:t>Advocacy</w:t>
      </w:r>
    </w:p>
    <w:tbl>
      <w:tblPr>
        <w:tblStyle w:val="TableGrid"/>
        <w:tblW w:w="0" w:type="auto"/>
        <w:tblLook w:val="04A0" w:firstRow="1" w:lastRow="0" w:firstColumn="1" w:lastColumn="0" w:noHBand="0" w:noVBand="1"/>
        <w:tblDescription w:val="Decorative"/>
      </w:tblPr>
      <w:tblGrid>
        <w:gridCol w:w="9016"/>
      </w:tblGrid>
      <w:tr w:rsidR="007E1CF6" w14:paraId="670D644E" w14:textId="77777777" w:rsidTr="007E1CF6">
        <w:tc>
          <w:tcPr>
            <w:tcW w:w="9016" w:type="dxa"/>
          </w:tcPr>
          <w:p w14:paraId="05B5E012" w14:textId="77777777" w:rsidR="007E1CF6" w:rsidRPr="00A744E8" w:rsidRDefault="007E1CF6" w:rsidP="007E1CF6">
            <w:pPr>
              <w:spacing w:before="1" w:line="276" w:lineRule="auto"/>
              <w:jc w:val="both"/>
              <w:rPr>
                <w:b/>
              </w:rPr>
            </w:pPr>
            <w:r w:rsidRPr="00A744E8">
              <w:rPr>
                <w:b/>
              </w:rPr>
              <w:t>Recommendation 29</w:t>
            </w:r>
          </w:p>
          <w:p w14:paraId="2D61CF02" w14:textId="77777777" w:rsidR="007E1CF6" w:rsidRPr="003E1731" w:rsidRDefault="007E1CF6" w:rsidP="007E1CF6">
            <w:pPr>
              <w:widowControl w:val="0"/>
              <w:tabs>
                <w:tab w:val="left" w:pos="454"/>
              </w:tabs>
              <w:autoSpaceDE w:val="0"/>
              <w:autoSpaceDN w:val="0"/>
              <w:spacing w:before="60"/>
              <w:ind w:right="716"/>
            </w:pPr>
            <w:r w:rsidRPr="003E1731">
              <w:t xml:space="preserve">The committee recommends that the </w:t>
            </w:r>
            <w:r w:rsidRPr="003E1731">
              <w:rPr>
                <w:bCs/>
              </w:rPr>
              <w:t>Commonwealth, state and territory governments</w:t>
            </w:r>
            <w:r>
              <w:t xml:space="preserve"> re-commit to a national approach to disability </w:t>
            </w:r>
            <w:r w:rsidRPr="003E1731">
              <w:t>advocacy. This should include:</w:t>
            </w:r>
          </w:p>
          <w:p w14:paraId="6403F6D7" w14:textId="77777777" w:rsidR="007E1CF6" w:rsidRDefault="007E1CF6" w:rsidP="007E1CF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reviewing the effectiveness of the National Disability Advocacy Framework, including the current status of its outputs and reform and policy directions; and</w:t>
            </w:r>
          </w:p>
          <w:p w14:paraId="43246A43" w14:textId="4DC0442B" w:rsidR="007E1CF6" w:rsidRPr="007E1CF6" w:rsidRDefault="007E1CF6" w:rsidP="007E1CF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updating the National Disability Advocacy Framework to include performance measures and reporting requirements for each of the outputs and reform and policy directions.</w:t>
            </w:r>
          </w:p>
        </w:tc>
      </w:tr>
    </w:tbl>
    <w:p w14:paraId="6EECF51A" w14:textId="77777777" w:rsidR="007E1CF6" w:rsidRPr="006A1CA5" w:rsidRDefault="007E1CF6" w:rsidP="008337E4"/>
    <w:p w14:paraId="43C27BD8" w14:textId="73831F50" w:rsidR="00306B0D" w:rsidRPr="00306B0D" w:rsidRDefault="00306B0D" w:rsidP="008337E4">
      <w:pPr>
        <w:rPr>
          <w:b/>
        </w:rPr>
      </w:pPr>
      <w:r>
        <w:rPr>
          <w:b/>
        </w:rPr>
        <w:t>Supported in principle</w:t>
      </w:r>
    </w:p>
    <w:p w14:paraId="129E871D" w14:textId="55D198A5" w:rsidR="006A1CA5" w:rsidRDefault="00ED478E" w:rsidP="00974742">
      <w:pPr>
        <w:spacing w:after="240"/>
      </w:pPr>
      <w:r>
        <w:t>On 13 December 2019, t</w:t>
      </w:r>
      <w:r w:rsidR="00FD2688" w:rsidRPr="00FD2688">
        <w:t xml:space="preserve">he </w:t>
      </w:r>
      <w:r>
        <w:t xml:space="preserve">Council of Australian Governments, </w:t>
      </w:r>
      <w:r w:rsidR="00FD2688" w:rsidRPr="00FD2688">
        <w:t>Disability Reform Council agreed, with South Australia dissenting, that disability advocacy is a shared responsibility between the Australian Government and state and territory governments.</w:t>
      </w:r>
      <w:r w:rsidR="007E1CF6">
        <w:t xml:space="preserve"> </w:t>
      </w:r>
    </w:p>
    <w:p w14:paraId="4FE5FACF" w14:textId="150A3AD0" w:rsidR="007E1CF6" w:rsidRDefault="00FD2688" w:rsidP="00974742">
      <w:pPr>
        <w:spacing w:after="240"/>
      </w:pPr>
      <w:r w:rsidRPr="00FD2688">
        <w:t xml:space="preserve">The Australian Government, </w:t>
      </w:r>
      <w:r w:rsidR="00FD28CE">
        <w:t xml:space="preserve">and </w:t>
      </w:r>
      <w:r w:rsidRPr="00FD2688">
        <w:t xml:space="preserve">state and territory governments are working collaboratively to develop a new National Disability Advocacy Framework (NDAF), </w:t>
      </w:r>
      <w:r w:rsidR="00DC438C">
        <w:t xml:space="preserve">including incorporating </w:t>
      </w:r>
      <w:r w:rsidR="00603D54">
        <w:t xml:space="preserve">public consultation </w:t>
      </w:r>
      <w:r w:rsidR="00DC438C">
        <w:t>feedback</w:t>
      </w:r>
      <w:r w:rsidR="00603D54">
        <w:t>. The</w:t>
      </w:r>
      <w:r w:rsidRPr="00FD2688">
        <w:t xml:space="preserve"> new NDAF is an inclusive, high-level and principle based framework which commits the Australian </w:t>
      </w:r>
      <w:r w:rsidR="00ED478E">
        <w:t>and</w:t>
      </w:r>
      <w:r w:rsidRPr="00FD2688">
        <w:t xml:space="preserve"> state and territory governments to work together to improve access to disability advocacy services for all people with disability.</w:t>
      </w:r>
      <w:r w:rsidR="00306B0D">
        <w:t xml:space="preserve"> </w:t>
      </w:r>
    </w:p>
    <w:tbl>
      <w:tblPr>
        <w:tblStyle w:val="TableGrid"/>
        <w:tblW w:w="0" w:type="auto"/>
        <w:tblLook w:val="04A0" w:firstRow="1" w:lastRow="0" w:firstColumn="1" w:lastColumn="0" w:noHBand="0" w:noVBand="1"/>
        <w:tblDescription w:val="Decorative"/>
      </w:tblPr>
      <w:tblGrid>
        <w:gridCol w:w="9016"/>
      </w:tblGrid>
      <w:tr w:rsidR="007E1CF6" w14:paraId="0674DCE3" w14:textId="77777777" w:rsidTr="007E1CF6">
        <w:tc>
          <w:tcPr>
            <w:tcW w:w="9016" w:type="dxa"/>
          </w:tcPr>
          <w:p w14:paraId="6F3D928D" w14:textId="77777777" w:rsidR="007E1CF6" w:rsidRPr="00A744E8" w:rsidRDefault="007E1CF6" w:rsidP="007E1CF6">
            <w:pPr>
              <w:spacing w:before="1"/>
              <w:jc w:val="both"/>
              <w:rPr>
                <w:b/>
              </w:rPr>
            </w:pPr>
            <w:r w:rsidRPr="00A744E8">
              <w:rPr>
                <w:b/>
              </w:rPr>
              <w:t>Recommendation 30</w:t>
            </w:r>
          </w:p>
          <w:p w14:paraId="282C0ECE" w14:textId="77777777" w:rsidR="007E1CF6" w:rsidRPr="003E1731" w:rsidRDefault="007E1CF6" w:rsidP="007E1CF6">
            <w:pPr>
              <w:pStyle w:val="ListParagraph"/>
              <w:widowControl w:val="0"/>
              <w:tabs>
                <w:tab w:val="left" w:pos="454"/>
              </w:tabs>
              <w:autoSpaceDE w:val="0"/>
              <w:autoSpaceDN w:val="0"/>
              <w:spacing w:before="60"/>
              <w:ind w:left="0" w:right="719"/>
              <w:rPr>
                <w:rFonts w:ascii="Times New Roman" w:hAnsi="Times New Roman" w:cs="Times New Roman"/>
                <w:sz w:val="24"/>
                <w:szCs w:val="24"/>
              </w:rPr>
            </w:pPr>
            <w:r w:rsidRPr="003E1731">
              <w:rPr>
                <w:rFonts w:ascii="Times New Roman" w:hAnsi="Times New Roman" w:cs="Times New Roman"/>
                <w:sz w:val="24"/>
                <w:szCs w:val="24"/>
              </w:rPr>
              <w:t>The committee recommends that a National Autism Advocacy Plan be developed under the auspices of the National Autism Strategy. The National Autism Advocacy Plan should:</w:t>
            </w:r>
          </w:p>
          <w:p w14:paraId="3D40B7BF" w14:textId="77777777" w:rsidR="007E1CF6" w:rsidRPr="003E1731" w:rsidRDefault="007E1CF6" w:rsidP="007E1CF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align with the National Disability Advocacy Framework; and</w:t>
            </w:r>
          </w:p>
          <w:p w14:paraId="76D5FC17" w14:textId="77777777" w:rsidR="007E1CF6" w:rsidRPr="003E1731" w:rsidRDefault="007E1CF6" w:rsidP="007E1CF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3E1731">
              <w:rPr>
                <w:rFonts w:ascii="Times New Roman" w:hAnsi="Times New Roman" w:cs="Times New Roman"/>
                <w:sz w:val="24"/>
                <w:szCs w:val="24"/>
              </w:rPr>
              <w:t>identify actions to:</w:t>
            </w:r>
          </w:p>
          <w:p w14:paraId="0A34F92B" w14:textId="77777777" w:rsidR="007E1CF6" w:rsidRPr="003E1731" w:rsidRDefault="007E1CF6" w:rsidP="007E1CF6">
            <w:pPr>
              <w:pStyle w:val="ListParagraph"/>
              <w:widowControl w:val="0"/>
              <w:numPr>
                <w:ilvl w:val="0"/>
                <w:numId w:val="8"/>
              </w:numPr>
              <w:tabs>
                <w:tab w:val="left" w:pos="454"/>
                <w:tab w:val="left" w:pos="1311"/>
              </w:tabs>
              <w:autoSpaceDE w:val="0"/>
              <w:autoSpaceDN w:val="0"/>
              <w:spacing w:before="120"/>
              <w:ind w:right="2011"/>
              <w:rPr>
                <w:rFonts w:ascii="Times New Roman" w:hAnsi="Times New Roman" w:cs="Times New Roman"/>
                <w:sz w:val="24"/>
                <w:szCs w:val="24"/>
              </w:rPr>
            </w:pPr>
            <w:r w:rsidRPr="003E1731">
              <w:rPr>
                <w:rFonts w:ascii="Times New Roman" w:hAnsi="Times New Roman" w:cs="Times New Roman"/>
                <w:sz w:val="24"/>
                <w:szCs w:val="24"/>
              </w:rPr>
              <w:t>improve data collection and reporting on the utilisation and effectiveness of advocacy services for autistic</w:t>
            </w:r>
            <w:r w:rsidRPr="003E1731">
              <w:rPr>
                <w:rFonts w:ascii="Times New Roman" w:hAnsi="Times New Roman" w:cs="Times New Roman"/>
                <w:spacing w:val="-8"/>
                <w:sz w:val="24"/>
                <w:szCs w:val="24"/>
              </w:rPr>
              <w:t xml:space="preserve"> </w:t>
            </w:r>
            <w:r w:rsidRPr="003E1731">
              <w:rPr>
                <w:rFonts w:ascii="Times New Roman" w:hAnsi="Times New Roman" w:cs="Times New Roman"/>
                <w:sz w:val="24"/>
                <w:szCs w:val="24"/>
              </w:rPr>
              <w:t>people;</w:t>
            </w:r>
          </w:p>
          <w:p w14:paraId="2D478F02" w14:textId="77777777" w:rsidR="007E1CF6" w:rsidRPr="003E1731" w:rsidRDefault="007E1CF6" w:rsidP="007E1CF6">
            <w:pPr>
              <w:pStyle w:val="ListParagraph"/>
              <w:widowControl w:val="0"/>
              <w:numPr>
                <w:ilvl w:val="0"/>
                <w:numId w:val="8"/>
              </w:numPr>
              <w:tabs>
                <w:tab w:val="left" w:pos="454"/>
                <w:tab w:val="left" w:pos="1311"/>
              </w:tabs>
              <w:autoSpaceDE w:val="0"/>
              <w:autoSpaceDN w:val="0"/>
              <w:ind w:right="994"/>
              <w:rPr>
                <w:rFonts w:ascii="Times New Roman" w:hAnsi="Times New Roman" w:cs="Times New Roman"/>
                <w:sz w:val="24"/>
                <w:szCs w:val="24"/>
              </w:rPr>
            </w:pPr>
            <w:r w:rsidRPr="003E1731">
              <w:rPr>
                <w:rFonts w:ascii="Times New Roman" w:hAnsi="Times New Roman" w:cs="Times New Roman"/>
                <w:sz w:val="24"/>
                <w:szCs w:val="24"/>
              </w:rPr>
              <w:t>encourage the growth of autism-specific advocacy services, including autistic-led</w:t>
            </w:r>
            <w:r w:rsidRPr="003E1731">
              <w:rPr>
                <w:rFonts w:ascii="Times New Roman" w:hAnsi="Times New Roman" w:cs="Times New Roman"/>
                <w:spacing w:val="-2"/>
                <w:sz w:val="24"/>
                <w:szCs w:val="24"/>
              </w:rPr>
              <w:t xml:space="preserve"> </w:t>
            </w:r>
            <w:r w:rsidRPr="003E1731">
              <w:rPr>
                <w:rFonts w:ascii="Times New Roman" w:hAnsi="Times New Roman" w:cs="Times New Roman"/>
                <w:sz w:val="24"/>
                <w:szCs w:val="24"/>
              </w:rPr>
              <w:t>services;</w:t>
            </w:r>
          </w:p>
          <w:p w14:paraId="2D4615E5" w14:textId="77777777" w:rsidR="007E1CF6" w:rsidRPr="003E1731" w:rsidRDefault="007E1CF6" w:rsidP="007E1CF6">
            <w:pPr>
              <w:pStyle w:val="ListParagraph"/>
              <w:widowControl w:val="0"/>
              <w:numPr>
                <w:ilvl w:val="0"/>
                <w:numId w:val="8"/>
              </w:numPr>
              <w:tabs>
                <w:tab w:val="left" w:pos="454"/>
                <w:tab w:val="left" w:pos="1311"/>
              </w:tabs>
              <w:autoSpaceDE w:val="0"/>
              <w:autoSpaceDN w:val="0"/>
              <w:ind w:right="995"/>
              <w:rPr>
                <w:rFonts w:ascii="Times New Roman" w:hAnsi="Times New Roman" w:cs="Times New Roman"/>
                <w:sz w:val="24"/>
                <w:szCs w:val="24"/>
              </w:rPr>
            </w:pPr>
            <w:r w:rsidRPr="003E1731">
              <w:rPr>
                <w:rFonts w:ascii="Times New Roman" w:hAnsi="Times New Roman" w:cs="Times New Roman"/>
                <w:sz w:val="24"/>
                <w:szCs w:val="24"/>
              </w:rPr>
              <w:t>increase the numbers of autistic people appointed to key positions in all organisations, including autism and disability-related organisations;</w:t>
            </w:r>
          </w:p>
          <w:p w14:paraId="6CD370F0" w14:textId="77777777" w:rsidR="007E1CF6" w:rsidRDefault="007E1CF6" w:rsidP="007E1CF6">
            <w:pPr>
              <w:pStyle w:val="ListParagraph"/>
              <w:widowControl w:val="0"/>
              <w:numPr>
                <w:ilvl w:val="0"/>
                <w:numId w:val="8"/>
              </w:numPr>
              <w:tabs>
                <w:tab w:val="left" w:pos="454"/>
                <w:tab w:val="left" w:pos="1311"/>
              </w:tabs>
              <w:autoSpaceDE w:val="0"/>
              <w:autoSpaceDN w:val="0"/>
              <w:spacing w:before="41"/>
              <w:ind w:right="877"/>
              <w:rPr>
                <w:rFonts w:ascii="Times New Roman" w:hAnsi="Times New Roman" w:cs="Times New Roman"/>
                <w:sz w:val="24"/>
                <w:szCs w:val="24"/>
              </w:rPr>
            </w:pPr>
            <w:r w:rsidRPr="003E1731">
              <w:rPr>
                <w:rFonts w:ascii="Times New Roman" w:hAnsi="Times New Roman" w:cs="Times New Roman"/>
                <w:sz w:val="24"/>
                <w:szCs w:val="24"/>
              </w:rPr>
              <w:t>ensure better understanding of, and advocacy for, the needs of autistic people with complex presentations; and</w:t>
            </w:r>
          </w:p>
          <w:p w14:paraId="75E8FE68" w14:textId="3FCE6A5E" w:rsidR="007E1CF6" w:rsidRPr="007E1CF6" w:rsidRDefault="007E1CF6" w:rsidP="007E1CF6">
            <w:pPr>
              <w:pStyle w:val="ListParagraph"/>
              <w:widowControl w:val="0"/>
              <w:numPr>
                <w:ilvl w:val="0"/>
                <w:numId w:val="8"/>
              </w:numPr>
              <w:tabs>
                <w:tab w:val="left" w:pos="454"/>
                <w:tab w:val="left" w:pos="1311"/>
              </w:tabs>
              <w:autoSpaceDE w:val="0"/>
              <w:autoSpaceDN w:val="0"/>
              <w:spacing w:before="41"/>
              <w:ind w:right="877"/>
              <w:rPr>
                <w:rFonts w:ascii="Times New Roman" w:hAnsi="Times New Roman" w:cs="Times New Roman"/>
                <w:sz w:val="24"/>
                <w:szCs w:val="24"/>
              </w:rPr>
            </w:pPr>
            <w:r w:rsidRPr="003E1731">
              <w:rPr>
                <w:rFonts w:ascii="Times New Roman" w:hAnsi="Times New Roman" w:cs="Times New Roman"/>
                <w:sz w:val="24"/>
                <w:szCs w:val="24"/>
              </w:rPr>
              <w:t>bring together the diverse views and perspectives of the autistic community to improve advocacy for all autistic</w:t>
            </w:r>
            <w:r w:rsidRPr="007E1CF6">
              <w:rPr>
                <w:rFonts w:ascii="Times New Roman" w:hAnsi="Times New Roman" w:cs="Times New Roman"/>
                <w:spacing w:val="-9"/>
                <w:sz w:val="24"/>
                <w:szCs w:val="24"/>
              </w:rPr>
              <w:t xml:space="preserve"> </w:t>
            </w:r>
            <w:r w:rsidRPr="003E1731">
              <w:rPr>
                <w:rFonts w:ascii="Times New Roman" w:hAnsi="Times New Roman" w:cs="Times New Roman"/>
                <w:sz w:val="24"/>
                <w:szCs w:val="24"/>
              </w:rPr>
              <w:t>people</w:t>
            </w:r>
            <w:r>
              <w:rPr>
                <w:rFonts w:ascii="Times New Roman" w:hAnsi="Times New Roman" w:cs="Times New Roman"/>
                <w:sz w:val="24"/>
                <w:szCs w:val="24"/>
              </w:rPr>
              <w:t>.</w:t>
            </w:r>
          </w:p>
        </w:tc>
      </w:tr>
    </w:tbl>
    <w:p w14:paraId="228FD07D" w14:textId="77777777" w:rsidR="00F40568" w:rsidRDefault="00F40568">
      <w:pPr>
        <w:spacing w:after="160" w:line="259" w:lineRule="auto"/>
        <w:rPr>
          <w:b/>
        </w:rPr>
      </w:pPr>
      <w:r>
        <w:rPr>
          <w:b/>
        </w:rPr>
        <w:br w:type="page"/>
      </w:r>
    </w:p>
    <w:p w14:paraId="00AE6E84" w14:textId="348D0F46" w:rsidR="00FD4DFB" w:rsidRPr="00FD4DFB" w:rsidRDefault="00E72026" w:rsidP="002C2522">
      <w:pPr>
        <w:rPr>
          <w:b/>
        </w:rPr>
      </w:pPr>
      <w:r>
        <w:rPr>
          <w:b/>
        </w:rPr>
        <w:lastRenderedPageBreak/>
        <w:t>Supported in p</w:t>
      </w:r>
      <w:r w:rsidR="00FD4DFB" w:rsidRPr="00FD4DFB">
        <w:rPr>
          <w:b/>
        </w:rPr>
        <w:t>rinciple</w:t>
      </w:r>
    </w:p>
    <w:p w14:paraId="4F84DB15" w14:textId="63FA0227" w:rsidR="00410525" w:rsidRDefault="00410525" w:rsidP="00974742">
      <w:pPr>
        <w:spacing w:after="240"/>
      </w:pPr>
      <w:r>
        <w:t xml:space="preserve">Australia’s Disability Strategy recognises advocacy helps safeguard people’s rights and overcome barriers to their inclusion and participation in the community. The Safety, Rights and Justice Outcome Area under </w:t>
      </w:r>
      <w:r w:rsidR="00980718">
        <w:t>Australia’s Disability</w:t>
      </w:r>
      <w:r>
        <w:t xml:space="preserve"> Strategy acknowledges disability advocacy as being an important way to enable and support people with disability to protect and uphold their rights. This Outcome Area aims to ensure ‘the rights of people with disability are promoted, upheld and protected, and people with disability feel safe and enjoy equality before the law’.</w:t>
      </w:r>
    </w:p>
    <w:p w14:paraId="597F6AD1" w14:textId="77858068" w:rsidR="003E3DCD" w:rsidRPr="00295365" w:rsidRDefault="00410525" w:rsidP="00974742">
      <w:pPr>
        <w:spacing w:after="240"/>
      </w:pPr>
      <w:r>
        <w:t>The Australian Government is working with state and ter</w:t>
      </w:r>
      <w:r w:rsidR="00A82070">
        <w:t>ritory governments to develop a </w:t>
      </w:r>
      <w:r>
        <w:t>Disability Advocacy Work Plan (work plan) to guide implementation of the National Disability Advocacy Framework (NDAF). Informed by public consultation on the NDAF, the work plan will identify areas of focus and tim</w:t>
      </w:r>
      <w:r w:rsidR="00A82070">
        <w:t>elines to enable the Australian </w:t>
      </w:r>
      <w:r>
        <w:t xml:space="preserve">Government to engage in multilateral and bilateral agreements. Areas of focus are anticipated to include data improvement and sharing, funding arrangements and service models. The NDAF, work plan and bilateral agreements are being developed to improve advocacy access and services </w:t>
      </w:r>
      <w:r w:rsidR="00974742">
        <w:t>for all people with disability.</w:t>
      </w:r>
    </w:p>
    <w:p w14:paraId="29EBE3F2" w14:textId="7A13E661" w:rsidR="003E3DCD" w:rsidRDefault="003E3DCD" w:rsidP="00974742">
      <w:pPr>
        <w:spacing w:after="240"/>
      </w:pPr>
      <w:r w:rsidRPr="00A0572F">
        <w:t xml:space="preserve">The </w:t>
      </w:r>
      <w:r w:rsidR="0099206F">
        <w:t>Australian</w:t>
      </w:r>
      <w:r w:rsidRPr="00A0572F">
        <w:t xml:space="preserve"> and state and territory governments ar</w:t>
      </w:r>
      <w:r w:rsidR="00FD4DFB">
        <w:t xml:space="preserve">e </w:t>
      </w:r>
      <w:r w:rsidR="00752D43">
        <w:t xml:space="preserve">also </w:t>
      </w:r>
      <w:r w:rsidR="00F43403">
        <w:t xml:space="preserve">working together to develop </w:t>
      </w:r>
      <w:r w:rsidR="00F43403" w:rsidRPr="00F43403">
        <w:t>a National Disability Data Asset (</w:t>
      </w:r>
      <w:r w:rsidR="00025FFF" w:rsidRPr="00F43403">
        <w:t>NDDA</w:t>
      </w:r>
      <w:r w:rsidR="00F43403" w:rsidRPr="00F43403">
        <w:t>)</w:t>
      </w:r>
      <w:r w:rsidRPr="00F43403">
        <w:t>. The NDDA project proposes to establish a</w:t>
      </w:r>
      <w:r w:rsidR="00F43403">
        <w:t> </w:t>
      </w:r>
      <w:r w:rsidRPr="00A0572F">
        <w:t xml:space="preserve">collection of linked de-identified data held by governments and covering multiple service systems. The aim is to obtain a better understanding of how people with disability are supported through services, payments and programs, and </w:t>
      </w:r>
      <w:r w:rsidR="00974742">
        <w:t xml:space="preserve">what outcomes are experienced. </w:t>
      </w:r>
    </w:p>
    <w:p w14:paraId="7CED90C4" w14:textId="7FAA7210" w:rsidR="001C35BF" w:rsidRPr="00295365" w:rsidRDefault="003E3DCD" w:rsidP="00974742">
      <w:pPr>
        <w:spacing w:after="240"/>
      </w:pPr>
      <w:r w:rsidRPr="00A0572F">
        <w:t>In the future, it is hoped that research and data generated by utilising the NDDA will support service providers, advocacy organisations, and disability-related organisations among other groups to make evidence based, data driven decisions to better meet the needs of people they service</w:t>
      </w:r>
      <w:r w:rsidR="0099206F">
        <w:t>.</w:t>
      </w:r>
    </w:p>
    <w:tbl>
      <w:tblPr>
        <w:tblStyle w:val="TableGrid"/>
        <w:tblW w:w="0" w:type="auto"/>
        <w:tblLook w:val="04A0" w:firstRow="1" w:lastRow="0" w:firstColumn="1" w:lastColumn="0" w:noHBand="0" w:noVBand="1"/>
        <w:tblDescription w:val="Decorative"/>
      </w:tblPr>
      <w:tblGrid>
        <w:gridCol w:w="9016"/>
      </w:tblGrid>
      <w:tr w:rsidR="008160AB" w14:paraId="61D7D848" w14:textId="77777777" w:rsidTr="008160AB">
        <w:tc>
          <w:tcPr>
            <w:tcW w:w="9016" w:type="dxa"/>
          </w:tcPr>
          <w:p w14:paraId="356ECC7C" w14:textId="77777777" w:rsidR="008160AB" w:rsidRPr="008160AB" w:rsidRDefault="008160AB" w:rsidP="008160AB">
            <w:pPr>
              <w:jc w:val="both"/>
              <w:rPr>
                <w:b/>
              </w:rPr>
            </w:pPr>
            <w:r w:rsidRPr="008160AB">
              <w:rPr>
                <w:b/>
              </w:rPr>
              <w:t>Recommendation 31</w:t>
            </w:r>
          </w:p>
          <w:p w14:paraId="667CEE89" w14:textId="76A788B6" w:rsidR="008160AB" w:rsidRDefault="008160AB" w:rsidP="008160AB">
            <w:pPr>
              <w:rPr>
                <w:b/>
              </w:rPr>
            </w:pPr>
            <w:r w:rsidRPr="003E1731">
              <w:t>The committee recommends that the proposed National Autism Advocacy Plan reflects the need for differentiated advocacy services to support the range of presentations across the spectrum and the stage of life for those autistic people requiring advocacy.</w:t>
            </w:r>
          </w:p>
        </w:tc>
      </w:tr>
    </w:tbl>
    <w:p w14:paraId="4860C2C2" w14:textId="4543C5A9" w:rsidR="008160AB" w:rsidRPr="00295365" w:rsidRDefault="008160AB" w:rsidP="00FD2688"/>
    <w:p w14:paraId="34ECCD34" w14:textId="50C8F4B6" w:rsidR="00755F4A" w:rsidRPr="00755F4A" w:rsidRDefault="00755F4A" w:rsidP="00FD2688">
      <w:pPr>
        <w:rPr>
          <w:b/>
        </w:rPr>
      </w:pPr>
      <w:r>
        <w:rPr>
          <w:b/>
        </w:rPr>
        <w:t>Supported in principle</w:t>
      </w:r>
    </w:p>
    <w:p w14:paraId="7E39596F" w14:textId="5DBFB481" w:rsidR="001C35BF" w:rsidRPr="00295365" w:rsidRDefault="00755F4A" w:rsidP="00974742">
      <w:pPr>
        <w:spacing w:after="240"/>
      </w:pPr>
      <w:r>
        <w:t xml:space="preserve">The </w:t>
      </w:r>
      <w:r w:rsidR="00161F50">
        <w:t>National Disability Advocacy Framework (</w:t>
      </w:r>
      <w:r>
        <w:t>NDAF</w:t>
      </w:r>
      <w:r w:rsidR="00161F50">
        <w:t>)</w:t>
      </w:r>
      <w:r w:rsidR="00DC438C">
        <w:t>,</w:t>
      </w:r>
      <w:r>
        <w:t xml:space="preserve"> work p</w:t>
      </w:r>
      <w:r w:rsidR="00FD2688" w:rsidRPr="00FD2688">
        <w:t>lan</w:t>
      </w:r>
      <w:r w:rsidR="0099206F">
        <w:t>,</w:t>
      </w:r>
      <w:r w:rsidR="00FD2688" w:rsidRPr="00FD2688">
        <w:t xml:space="preserve"> and bilateral agreements are being develo</w:t>
      </w:r>
      <w:r>
        <w:t>ped by the Australian and</w:t>
      </w:r>
      <w:r w:rsidR="00FD2688" w:rsidRPr="00FD2688">
        <w:t xml:space="preserve"> state and territory governments to </w:t>
      </w:r>
      <w:r>
        <w:t xml:space="preserve">reflect the range of advocacy services and </w:t>
      </w:r>
      <w:r w:rsidR="00FD2688" w:rsidRPr="00FD2688">
        <w:t>improve advocacy access and services for all people with disability.</w:t>
      </w:r>
    </w:p>
    <w:tbl>
      <w:tblPr>
        <w:tblStyle w:val="TableGrid"/>
        <w:tblW w:w="0" w:type="auto"/>
        <w:tblLook w:val="04A0" w:firstRow="1" w:lastRow="0" w:firstColumn="1" w:lastColumn="0" w:noHBand="0" w:noVBand="1"/>
        <w:tblDescription w:val="Decorative"/>
      </w:tblPr>
      <w:tblGrid>
        <w:gridCol w:w="9016"/>
      </w:tblGrid>
      <w:tr w:rsidR="008160AB" w14:paraId="4259D6F5" w14:textId="77777777" w:rsidTr="008160AB">
        <w:tc>
          <w:tcPr>
            <w:tcW w:w="9016" w:type="dxa"/>
          </w:tcPr>
          <w:p w14:paraId="529597BD" w14:textId="77777777" w:rsidR="008160AB" w:rsidRPr="00A744E8" w:rsidRDefault="008160AB" w:rsidP="008160AB">
            <w:pPr>
              <w:jc w:val="both"/>
              <w:rPr>
                <w:b/>
              </w:rPr>
            </w:pPr>
            <w:r w:rsidRPr="00A744E8">
              <w:rPr>
                <w:b/>
              </w:rPr>
              <w:t>Recommendation 32</w:t>
            </w:r>
          </w:p>
          <w:p w14:paraId="0DB05FDA" w14:textId="4FEB149C" w:rsidR="008160AB" w:rsidRDefault="008160AB" w:rsidP="008160AB">
            <w:pPr>
              <w:rPr>
                <w:b/>
              </w:rPr>
            </w:pPr>
            <w:r w:rsidRPr="003E1731">
              <w:t>The committee recommends that the Australian Government ensure that the National Disability Advocacy Program and other Commonwealth-funded disability advocacy programs fund at least one autism-specific advocacy service in each state and territory.</w:t>
            </w:r>
          </w:p>
        </w:tc>
      </w:tr>
    </w:tbl>
    <w:p w14:paraId="0DC011A6" w14:textId="77777777" w:rsidR="008160AB" w:rsidRPr="00295365" w:rsidRDefault="008160AB" w:rsidP="00FD2688"/>
    <w:p w14:paraId="2EB7008D" w14:textId="6F892148" w:rsidR="00755F4A" w:rsidRPr="00755F4A" w:rsidRDefault="00755F4A" w:rsidP="00FD2688">
      <w:pPr>
        <w:rPr>
          <w:b/>
        </w:rPr>
      </w:pPr>
      <w:r>
        <w:rPr>
          <w:b/>
        </w:rPr>
        <w:t>Supported in principle</w:t>
      </w:r>
    </w:p>
    <w:p w14:paraId="5BE1C580" w14:textId="48949729" w:rsidR="00FD2688" w:rsidRDefault="00FD2688" w:rsidP="00FD2688">
      <w:r w:rsidRPr="00FD2688">
        <w:t xml:space="preserve">The </w:t>
      </w:r>
      <w:r w:rsidR="00755F4A">
        <w:t>Australian Government</w:t>
      </w:r>
      <w:r w:rsidRPr="00FD2688">
        <w:t xml:space="preserve"> currently funds 59 organisations across Australia to deliver the National Disability Advocacy Program (NDAP). The NDAP provides people with disability with access to effective disability advocacy that promotes, protects and ensures their full and equal enjoyment of all human rights enabli</w:t>
      </w:r>
      <w:r w:rsidR="00755F4A">
        <w:t>ng community participation. All </w:t>
      </w:r>
      <w:r w:rsidRPr="00FD2688">
        <w:t>people with disability can receive support under</w:t>
      </w:r>
      <w:r w:rsidR="00F50F73">
        <w:t xml:space="preserve"> the</w:t>
      </w:r>
      <w:r w:rsidRPr="00FD2688">
        <w:t xml:space="preserve"> NDAP. </w:t>
      </w:r>
    </w:p>
    <w:p w14:paraId="77B1EF2A" w14:textId="6C78CD5E" w:rsidR="00410525" w:rsidRDefault="009E27B7" w:rsidP="009E27B7">
      <w:pPr>
        <w:spacing w:after="160" w:line="259" w:lineRule="auto"/>
      </w:pPr>
      <w:r>
        <w:br w:type="page"/>
      </w:r>
    </w:p>
    <w:p w14:paraId="7F629EF5" w14:textId="08CB7A39" w:rsidR="00FD2688" w:rsidRPr="00BB501F" w:rsidRDefault="00410525" w:rsidP="00FD2688">
      <w:pPr>
        <w:rPr>
          <w:sz w:val="22"/>
          <w:szCs w:val="22"/>
        </w:rPr>
      </w:pPr>
      <w:r>
        <w:lastRenderedPageBreak/>
        <w:t>The Australian Government also funds 17 organisations through the Disability Representative Organisations (DRO) program to provide systemic advocacy through representing people with disability and providing advice to the Australian Government. The program helps to address barriers to social and economic participation for people with disability, and ensures their voices and perspectives are reflected in Australian Government systems, policie</w:t>
      </w:r>
      <w:r w:rsidR="00F50F73">
        <w:t>s and services. Autism Asperger</w:t>
      </w:r>
      <w:r>
        <w:t xml:space="preserve">s Advocacy Australia (A4) is funded through </w:t>
      </w:r>
      <w:r w:rsidR="00F50F73">
        <w:t>the DRO program as </w:t>
      </w:r>
      <w:r>
        <w:t>part of the Disability Australia Consortium to provide autism-specific systemic advocacy.</w:t>
      </w:r>
    </w:p>
    <w:p w14:paraId="6D2B1045" w14:textId="2E925BF9" w:rsidR="00F34231" w:rsidRPr="00295365" w:rsidRDefault="00F34231" w:rsidP="00FD2688"/>
    <w:tbl>
      <w:tblPr>
        <w:tblStyle w:val="TableGrid"/>
        <w:tblW w:w="0" w:type="auto"/>
        <w:tblLook w:val="04A0" w:firstRow="1" w:lastRow="0" w:firstColumn="1" w:lastColumn="0" w:noHBand="0" w:noVBand="1"/>
        <w:tblDescription w:val="Decorative"/>
      </w:tblPr>
      <w:tblGrid>
        <w:gridCol w:w="9016"/>
      </w:tblGrid>
      <w:tr w:rsidR="00A744E8" w14:paraId="4751AB2D" w14:textId="77777777" w:rsidTr="00A744E8">
        <w:tc>
          <w:tcPr>
            <w:tcW w:w="9016" w:type="dxa"/>
          </w:tcPr>
          <w:p w14:paraId="5F026CCC" w14:textId="77777777" w:rsidR="00A744E8" w:rsidRPr="00A744E8" w:rsidRDefault="00A744E8" w:rsidP="00A744E8">
            <w:pPr>
              <w:spacing w:before="1" w:line="276" w:lineRule="auto"/>
              <w:ind w:left="29"/>
              <w:jc w:val="both"/>
              <w:rPr>
                <w:b/>
              </w:rPr>
            </w:pPr>
            <w:r w:rsidRPr="00A744E8">
              <w:rPr>
                <w:b/>
              </w:rPr>
              <w:t>Recommendation 33</w:t>
            </w:r>
          </w:p>
          <w:p w14:paraId="4E0595D3" w14:textId="7B14B67B" w:rsidR="00A744E8" w:rsidRDefault="00A744E8" w:rsidP="00A744E8">
            <w:pPr>
              <w:rPr>
                <w:b/>
              </w:rPr>
            </w:pPr>
            <w:r w:rsidRPr="003E1731">
              <w:t>The committee recommends that state and territory governments commit to funding autism-specific advocacy services under their funded disability advocacy programs. Progress toward implementation could be monitored through the National Federation Reform</w:t>
            </w:r>
            <w:r w:rsidRPr="003E1731">
              <w:rPr>
                <w:spacing w:val="-3"/>
              </w:rPr>
              <w:t xml:space="preserve"> </w:t>
            </w:r>
            <w:r w:rsidRPr="003E1731">
              <w:t>Council.</w:t>
            </w:r>
          </w:p>
        </w:tc>
      </w:tr>
    </w:tbl>
    <w:p w14:paraId="16F5EE96" w14:textId="77777777" w:rsidR="00A744E8" w:rsidRPr="00295365" w:rsidRDefault="00A744E8" w:rsidP="00FD2688"/>
    <w:p w14:paraId="20D9FF67" w14:textId="4F4A36F4" w:rsidR="00D276BD" w:rsidRPr="00D276BD" w:rsidRDefault="00D276BD" w:rsidP="00FD2688">
      <w:pPr>
        <w:rPr>
          <w:b/>
        </w:rPr>
      </w:pPr>
      <w:r>
        <w:rPr>
          <w:b/>
        </w:rPr>
        <w:t>Supported in principle</w:t>
      </w:r>
    </w:p>
    <w:p w14:paraId="28D1293D" w14:textId="45760999" w:rsidR="006517D5" w:rsidRPr="00295365" w:rsidRDefault="00FD2688" w:rsidP="006517D5">
      <w:pPr>
        <w:spacing w:after="240"/>
      </w:pPr>
      <w:r w:rsidRPr="00FD2688">
        <w:t>This recommendation is principally a matter for state and te</w:t>
      </w:r>
      <w:r w:rsidR="00D276BD">
        <w:t>rritory governments. The </w:t>
      </w:r>
      <w:r w:rsidRPr="00FD2688">
        <w:t>Australian Government is currently working with state and territory governments to collectively address service standards, determine demand and unmet demand</w:t>
      </w:r>
      <w:r w:rsidR="00F50F73">
        <w:t>,</w:t>
      </w:r>
      <w:r w:rsidRPr="00FD2688">
        <w:t xml:space="preserve"> and improve access to high quality advocacy services.</w:t>
      </w:r>
    </w:p>
    <w:tbl>
      <w:tblPr>
        <w:tblStyle w:val="TableGrid"/>
        <w:tblW w:w="0" w:type="auto"/>
        <w:tblLook w:val="04A0" w:firstRow="1" w:lastRow="0" w:firstColumn="1" w:lastColumn="0" w:noHBand="0" w:noVBand="1"/>
        <w:tblDescription w:val="Decorative"/>
      </w:tblPr>
      <w:tblGrid>
        <w:gridCol w:w="9016"/>
      </w:tblGrid>
      <w:tr w:rsidR="00A744E8" w14:paraId="754FD96E" w14:textId="77777777" w:rsidTr="00A744E8">
        <w:tc>
          <w:tcPr>
            <w:tcW w:w="9016" w:type="dxa"/>
          </w:tcPr>
          <w:p w14:paraId="0A49F8E0" w14:textId="77777777" w:rsidR="00A744E8" w:rsidRPr="00A744E8" w:rsidRDefault="00A744E8" w:rsidP="00A744E8">
            <w:pPr>
              <w:spacing w:line="276" w:lineRule="auto"/>
              <w:jc w:val="both"/>
              <w:rPr>
                <w:b/>
              </w:rPr>
            </w:pPr>
            <w:r w:rsidRPr="00A744E8">
              <w:rPr>
                <w:b/>
              </w:rPr>
              <w:t>Recommendation 34</w:t>
            </w:r>
          </w:p>
          <w:p w14:paraId="79CAD4BA" w14:textId="52DD7055" w:rsidR="00A744E8" w:rsidRPr="00A744E8" w:rsidRDefault="00A744E8" w:rsidP="00A744E8">
            <w:pPr>
              <w:rPr>
                <w:b/>
              </w:rPr>
            </w:pPr>
            <w:r w:rsidRPr="003E1731">
              <w:t>The committee recommends that the Australian Government, through the Department of Social Services' Information Linkages and Capacity Building program, fund autism-specific advocacy groups to build the capacity of general disability advocacy organisations to support autistic people.</w:t>
            </w:r>
          </w:p>
        </w:tc>
      </w:tr>
    </w:tbl>
    <w:p w14:paraId="68080015" w14:textId="77777777" w:rsidR="00A744E8" w:rsidRPr="00295365" w:rsidRDefault="00A744E8" w:rsidP="008337E4"/>
    <w:p w14:paraId="158EA799" w14:textId="740725CF" w:rsidR="003E3DCD" w:rsidRPr="00710CEA" w:rsidRDefault="00B02977" w:rsidP="003E3DCD">
      <w:pPr>
        <w:rPr>
          <w:bCs/>
        </w:rPr>
      </w:pPr>
      <w:r>
        <w:rPr>
          <w:b/>
          <w:bCs/>
        </w:rPr>
        <w:t>Support</w:t>
      </w:r>
      <w:r w:rsidR="00B45396">
        <w:rPr>
          <w:b/>
          <w:bCs/>
        </w:rPr>
        <w:t>ed</w:t>
      </w:r>
      <w:r w:rsidR="003E3DCD" w:rsidRPr="00A0572F">
        <w:rPr>
          <w:b/>
          <w:bCs/>
        </w:rPr>
        <w:t xml:space="preserve"> in principle </w:t>
      </w:r>
    </w:p>
    <w:p w14:paraId="0AE0A614" w14:textId="29C3DF34" w:rsidR="009913BC" w:rsidRPr="00295365" w:rsidRDefault="003E3DCD" w:rsidP="006517D5">
      <w:pPr>
        <w:spacing w:after="240"/>
      </w:pPr>
      <w:r w:rsidRPr="00A0572F">
        <w:t xml:space="preserve">The </w:t>
      </w:r>
      <w:r w:rsidR="008946E3">
        <w:t>D</w:t>
      </w:r>
      <w:r w:rsidRPr="00A0572F">
        <w:t>epartment</w:t>
      </w:r>
      <w:r w:rsidR="008946E3">
        <w:t xml:space="preserve"> of Social Services</w:t>
      </w:r>
      <w:r w:rsidR="00F50F73">
        <w:t xml:space="preserve"> (the department)</w:t>
      </w:r>
      <w:r w:rsidRPr="00A0572F">
        <w:t xml:space="preserve"> is working to strengthen the current I</w:t>
      </w:r>
      <w:r w:rsidR="00710CEA">
        <w:t xml:space="preserve">nformation, </w:t>
      </w:r>
      <w:r w:rsidRPr="00A0572F">
        <w:t>L</w:t>
      </w:r>
      <w:r w:rsidR="00710CEA">
        <w:t xml:space="preserve">inkages and </w:t>
      </w:r>
      <w:r w:rsidRPr="00A0572F">
        <w:t>C</w:t>
      </w:r>
      <w:r w:rsidR="00710CEA">
        <w:t>apacity Building (ILC)</w:t>
      </w:r>
      <w:r w:rsidRPr="00A0572F">
        <w:t xml:space="preserve"> </w:t>
      </w:r>
      <w:r w:rsidR="00710CEA">
        <w:t>S</w:t>
      </w:r>
      <w:r w:rsidRPr="00A0572F">
        <w:t>trategy by responding to stakeholder feedback received to date. This is includes, but is not limited to, making grant r</w:t>
      </w:r>
      <w:r w:rsidR="00F50F73">
        <w:t>ounds more targeted to </w:t>
      </w:r>
      <w:r w:rsidRPr="00A0572F">
        <w:t>address the needs of priority cohorts that may not have their needs addressed by current ILC activities. The department understands the imp</w:t>
      </w:r>
      <w:r w:rsidR="00F50F73">
        <w:t>ortance of building capacity of </w:t>
      </w:r>
      <w:r w:rsidRPr="00A0572F">
        <w:t>advocacy organisations to support</w:t>
      </w:r>
      <w:r w:rsidR="007268DE">
        <w:t xml:space="preserve"> autistic</w:t>
      </w:r>
      <w:r w:rsidRPr="00A0572F">
        <w:t xml:space="preserve"> people</w:t>
      </w:r>
      <w:r w:rsidR="007268DE">
        <w:t xml:space="preserve">, </w:t>
      </w:r>
      <w:r w:rsidRPr="00A0572F">
        <w:t xml:space="preserve">and will consider this recommendation when developing future grant activities and the broader ILC </w:t>
      </w:r>
      <w:r w:rsidR="00710CEA">
        <w:t>S</w:t>
      </w:r>
      <w:r w:rsidRPr="00A0572F">
        <w:t xml:space="preserve">trategy. </w:t>
      </w:r>
    </w:p>
    <w:tbl>
      <w:tblPr>
        <w:tblStyle w:val="TableGrid"/>
        <w:tblW w:w="0" w:type="auto"/>
        <w:tblLook w:val="04A0" w:firstRow="1" w:lastRow="0" w:firstColumn="1" w:lastColumn="0" w:noHBand="0" w:noVBand="1"/>
        <w:tblDescription w:val="Decorative"/>
      </w:tblPr>
      <w:tblGrid>
        <w:gridCol w:w="9016"/>
      </w:tblGrid>
      <w:tr w:rsidR="00A744E8" w14:paraId="74CA25CA" w14:textId="77777777" w:rsidTr="00A744E8">
        <w:tc>
          <w:tcPr>
            <w:tcW w:w="9016" w:type="dxa"/>
          </w:tcPr>
          <w:p w14:paraId="541815EA" w14:textId="77777777" w:rsidR="00A744E8" w:rsidRPr="00A744E8" w:rsidRDefault="00A744E8" w:rsidP="00A744E8">
            <w:pPr>
              <w:spacing w:line="276" w:lineRule="auto"/>
              <w:jc w:val="both"/>
              <w:rPr>
                <w:b/>
              </w:rPr>
            </w:pPr>
            <w:r w:rsidRPr="00A744E8">
              <w:rPr>
                <w:b/>
              </w:rPr>
              <w:t>Recommendation 35</w:t>
            </w:r>
          </w:p>
          <w:p w14:paraId="1D8790C9" w14:textId="3B0D8E18" w:rsidR="00A744E8" w:rsidRDefault="00A744E8" w:rsidP="00A744E8">
            <w:pPr>
              <w:rPr>
                <w:b/>
              </w:rPr>
            </w:pPr>
            <w:r w:rsidRPr="003E1731">
              <w:t>The committee recommends that the Australian Government, through the Department of Social Services' Information Linkages and Capacity Building program, fund autism-specific advocacy groups to build the self-advocacy and self-determination skills of autistic people (and their families), including through peer support</w:t>
            </w:r>
            <w:r w:rsidRPr="003E1731">
              <w:rPr>
                <w:spacing w:val="-3"/>
              </w:rPr>
              <w:t xml:space="preserve"> </w:t>
            </w:r>
            <w:r w:rsidRPr="003E1731">
              <w:t>programs.</w:t>
            </w:r>
          </w:p>
        </w:tc>
      </w:tr>
    </w:tbl>
    <w:p w14:paraId="122F8797" w14:textId="77777777" w:rsidR="00A744E8" w:rsidRPr="00295365" w:rsidRDefault="00A744E8" w:rsidP="003E3DCD"/>
    <w:p w14:paraId="4184705C" w14:textId="431C2EF4" w:rsidR="003E3DCD" w:rsidRPr="00710CEA" w:rsidRDefault="00E72026" w:rsidP="003E3DCD">
      <w:r>
        <w:rPr>
          <w:b/>
        </w:rPr>
        <w:t>Partially s</w:t>
      </w:r>
      <w:r w:rsidR="003E3DCD" w:rsidRPr="00A0572F">
        <w:rPr>
          <w:b/>
        </w:rPr>
        <w:t>upported</w:t>
      </w:r>
    </w:p>
    <w:p w14:paraId="10D758CF" w14:textId="2E6AD150" w:rsidR="003E3DCD" w:rsidRDefault="003E3DCD" w:rsidP="003E3DCD">
      <w:r w:rsidRPr="00A0572F">
        <w:t>The aim of the I</w:t>
      </w:r>
      <w:r w:rsidR="00F50F73">
        <w:t xml:space="preserve">nformation </w:t>
      </w:r>
      <w:r w:rsidRPr="00A0572F">
        <w:t>L</w:t>
      </w:r>
      <w:r w:rsidR="00F50F73">
        <w:t xml:space="preserve">inkages and </w:t>
      </w:r>
      <w:r w:rsidRPr="00A0572F">
        <w:t>C</w:t>
      </w:r>
      <w:r w:rsidR="00F50F73">
        <w:t>apacity Building (ILC)</w:t>
      </w:r>
      <w:r w:rsidR="00EA75AE">
        <w:t xml:space="preserve"> p</w:t>
      </w:r>
      <w:r w:rsidRPr="00A0572F">
        <w:t>rogram is to provide funding for activities which build the skills and confidence of all people with dis</w:t>
      </w:r>
      <w:r>
        <w:t xml:space="preserve">ability, including </w:t>
      </w:r>
      <w:r w:rsidR="007268DE">
        <w:t xml:space="preserve">autistic </w:t>
      </w:r>
      <w:r>
        <w:t>people</w:t>
      </w:r>
      <w:r w:rsidRPr="00A0572F">
        <w:t xml:space="preserve">, to participate and contribute to their community and protect their rights.   </w:t>
      </w:r>
    </w:p>
    <w:p w14:paraId="0EFF4319" w14:textId="1904122E" w:rsidR="003E3DCD" w:rsidRPr="00A0572F" w:rsidRDefault="00A744E8" w:rsidP="00A744E8">
      <w:pPr>
        <w:spacing w:after="160" w:line="259" w:lineRule="auto"/>
      </w:pPr>
      <w:r>
        <w:br w:type="page"/>
      </w:r>
    </w:p>
    <w:p w14:paraId="659ED56F" w14:textId="167920F4" w:rsidR="003E3DCD" w:rsidRPr="00A0572F" w:rsidRDefault="003E3DCD" w:rsidP="006517D5">
      <w:pPr>
        <w:spacing w:after="240"/>
      </w:pPr>
      <w:r w:rsidRPr="00A0572F">
        <w:lastRenderedPageBreak/>
        <w:t>The</w:t>
      </w:r>
      <w:r w:rsidR="00B62FDB">
        <w:t xml:space="preserve"> Australian</w:t>
      </w:r>
      <w:r w:rsidRPr="00A0572F">
        <w:t xml:space="preserve"> </w:t>
      </w:r>
      <w:r>
        <w:t>Government</w:t>
      </w:r>
      <w:r w:rsidRPr="00A0572F">
        <w:t xml:space="preserve"> acknowledges the impor</w:t>
      </w:r>
      <w:r w:rsidR="00B45396">
        <w:t>tance of self-advocacy and self</w:t>
      </w:r>
      <w:r w:rsidR="00B45396">
        <w:noBreakHyphen/>
      </w:r>
      <w:r w:rsidRPr="00A0572F">
        <w:t>determination for people with disability so they can develop autonomy over their lives, can make their own life choices and speak up for their</w:t>
      </w:r>
      <w:r w:rsidR="00B45396">
        <w:t xml:space="preserve"> needs. Advocacy groups play </w:t>
      </w:r>
      <w:r w:rsidR="00EA75AE">
        <w:t>a </w:t>
      </w:r>
      <w:r w:rsidRPr="00A0572F">
        <w:t xml:space="preserve">significant role in this regard. </w:t>
      </w:r>
      <w:r w:rsidR="00710CEA">
        <w:t>T</w:t>
      </w:r>
      <w:r w:rsidRPr="00A0572F">
        <w:t>h</w:t>
      </w:r>
      <w:r w:rsidR="00710CEA">
        <w:t>is</w:t>
      </w:r>
      <w:r w:rsidRPr="00A0572F">
        <w:t xml:space="preserve"> recommendation is only </w:t>
      </w:r>
      <w:r w:rsidRPr="00931660">
        <w:rPr>
          <w:bCs/>
        </w:rPr>
        <w:t>partially supported</w:t>
      </w:r>
      <w:r w:rsidRPr="00A0572F">
        <w:rPr>
          <w:b/>
          <w:bCs/>
        </w:rPr>
        <w:t xml:space="preserve"> </w:t>
      </w:r>
      <w:r w:rsidRPr="00A0572F">
        <w:t>as</w:t>
      </w:r>
      <w:r w:rsidRPr="00A0572F">
        <w:rPr>
          <w:b/>
          <w:bCs/>
        </w:rPr>
        <w:t xml:space="preserve"> </w:t>
      </w:r>
      <w:r w:rsidRPr="00A0572F">
        <w:t xml:space="preserve">the ILC program predominately provides funding to organisations through one off grants, awarded through competitive rounds, to deliver projects in the community that benefit all Australians with disability. </w:t>
      </w:r>
    </w:p>
    <w:p w14:paraId="2F300B9E" w14:textId="78CAFD7B" w:rsidR="00F330C2" w:rsidRDefault="003E3DCD" w:rsidP="006517D5">
      <w:pPr>
        <w:spacing w:after="240"/>
      </w:pPr>
      <w:r w:rsidRPr="00A0572F">
        <w:t xml:space="preserve">Grant rounds are administered according to the Commonwealth Grant Rules and Guidelines (CGRGs), made under the </w:t>
      </w:r>
      <w:r w:rsidRPr="00A0572F">
        <w:rPr>
          <w:i/>
          <w:iCs/>
        </w:rPr>
        <w:t>Public Governance, Performance and Accountability Act 2013</w:t>
      </w:r>
      <w:r>
        <w:t>. The p</w:t>
      </w:r>
      <w:r w:rsidRPr="00A0572F">
        <w:t>robity principles of the CGRGs require all applicants to be treated in an open, fair and transparent manner. In keeping with this framework, all applications are to be received and processed in accordance with the relevant published Gr</w:t>
      </w:r>
      <w:r w:rsidR="00B45396">
        <w:t>ant Opportunity Guidelines. All </w:t>
      </w:r>
      <w:r w:rsidRPr="00A0572F">
        <w:t xml:space="preserve">eligible organisations, including </w:t>
      </w:r>
      <w:r w:rsidR="00710CEA">
        <w:t>a</w:t>
      </w:r>
      <w:r w:rsidRPr="00A0572F">
        <w:t xml:space="preserve">utism-specific advocacy groups, </w:t>
      </w:r>
      <w:r w:rsidR="00CE0A58">
        <w:t>are able</w:t>
      </w:r>
      <w:r w:rsidRPr="00A0572F">
        <w:t xml:space="preserve"> to apply for any available grant round.</w:t>
      </w:r>
    </w:p>
    <w:p w14:paraId="093255D2" w14:textId="181FC0AC" w:rsidR="00E95E7A" w:rsidRDefault="00F330C2" w:rsidP="006517D5">
      <w:pPr>
        <w:spacing w:after="240"/>
        <w:rPr>
          <w:iCs/>
        </w:rPr>
      </w:pPr>
      <w:r w:rsidRPr="00D31310">
        <w:rPr>
          <w:iCs/>
        </w:rPr>
        <w:t>The ILC program complements but does not diminish governments’ responsibilities under Australia’s Disability Strategy which recognises responsibi</w:t>
      </w:r>
      <w:r w:rsidR="00EA75AE">
        <w:rPr>
          <w:iCs/>
        </w:rPr>
        <w:t>lity for supporting advocacy is </w:t>
      </w:r>
      <w:r w:rsidRPr="00D31310">
        <w:rPr>
          <w:iCs/>
        </w:rPr>
        <w:t>substantially shared across all levels of government. The state and territory governments retain their responsibility to fund self-advocacy and self-dete</w:t>
      </w:r>
      <w:r w:rsidR="00EA75AE">
        <w:rPr>
          <w:iCs/>
        </w:rPr>
        <w:t>rmination activities, including </w:t>
      </w:r>
      <w:r w:rsidRPr="00D31310">
        <w:rPr>
          <w:iCs/>
        </w:rPr>
        <w:t xml:space="preserve">autism specific activities, and the ILC program should not be viewed in isolation from the broader system of funding supports affirmed </w:t>
      </w:r>
      <w:r w:rsidRPr="001F40AA">
        <w:rPr>
          <w:iCs/>
        </w:rPr>
        <w:t xml:space="preserve">under </w:t>
      </w:r>
      <w:r w:rsidR="001F40AA" w:rsidRPr="001F40AA">
        <w:rPr>
          <w:iCs/>
        </w:rPr>
        <w:t>Australia</w:t>
      </w:r>
      <w:r w:rsidR="001F40AA">
        <w:rPr>
          <w:iCs/>
        </w:rPr>
        <w:t>’</w:t>
      </w:r>
      <w:r w:rsidR="00F57C89" w:rsidRPr="001F40AA">
        <w:rPr>
          <w:iCs/>
        </w:rPr>
        <w:t xml:space="preserve">s Disability </w:t>
      </w:r>
      <w:r w:rsidRPr="001F40AA">
        <w:rPr>
          <w:iCs/>
        </w:rPr>
        <w:t>Strategy.</w:t>
      </w:r>
    </w:p>
    <w:tbl>
      <w:tblPr>
        <w:tblStyle w:val="TableGrid"/>
        <w:tblW w:w="0" w:type="auto"/>
        <w:tblLook w:val="04A0" w:firstRow="1" w:lastRow="0" w:firstColumn="1" w:lastColumn="0" w:noHBand="0" w:noVBand="1"/>
        <w:tblDescription w:val="Decorative"/>
      </w:tblPr>
      <w:tblGrid>
        <w:gridCol w:w="9016"/>
      </w:tblGrid>
      <w:tr w:rsidR="00E95E7A" w14:paraId="37566115" w14:textId="77777777" w:rsidTr="00E95E7A">
        <w:tc>
          <w:tcPr>
            <w:tcW w:w="9016" w:type="dxa"/>
          </w:tcPr>
          <w:p w14:paraId="4571173E" w14:textId="77777777" w:rsidR="00E95E7A" w:rsidRPr="00E95E7A" w:rsidRDefault="00E95E7A" w:rsidP="00E95E7A">
            <w:pPr>
              <w:spacing w:line="276" w:lineRule="auto"/>
              <w:jc w:val="both"/>
              <w:rPr>
                <w:b/>
              </w:rPr>
            </w:pPr>
            <w:r w:rsidRPr="00E95E7A">
              <w:rPr>
                <w:b/>
              </w:rPr>
              <w:t>Recommendation 36</w:t>
            </w:r>
          </w:p>
          <w:p w14:paraId="1FE88C2D" w14:textId="1E957B52" w:rsidR="00E95E7A" w:rsidRDefault="00E95E7A" w:rsidP="00E95E7A">
            <w:r w:rsidRPr="0005294A">
              <w:t xml:space="preserve">The committee recommends that the </w:t>
            </w:r>
            <w:r w:rsidRPr="0005294A">
              <w:rPr>
                <w:bCs/>
              </w:rPr>
              <w:t>Department of Education, Skills and Employment</w:t>
            </w:r>
            <w:r w:rsidRPr="0005294A">
              <w:t xml:space="preserve"> work with </w:t>
            </w:r>
            <w:r w:rsidRPr="0005294A">
              <w:rPr>
                <w:bCs/>
              </w:rPr>
              <w:t>state and territory</w:t>
            </w:r>
            <w:r w:rsidRPr="0005294A">
              <w:t xml:space="preserve"> education authorities, the Australian Curriculum, Assessment and Reporting Authority, Education Services Australia and other relevant stakeholders to provide guidance and resources to help schools teach self-advocacy skills. While applicable to all school children, there should be a particular focus on making this content accessible to students with autism.</w:t>
            </w:r>
          </w:p>
        </w:tc>
      </w:tr>
    </w:tbl>
    <w:p w14:paraId="52D9EBE6" w14:textId="61088751" w:rsidR="008337E4" w:rsidRPr="00295365" w:rsidRDefault="008337E4" w:rsidP="008337E4"/>
    <w:p w14:paraId="6CB57661" w14:textId="00C99325" w:rsidR="001C62B6" w:rsidRPr="001C62B6" w:rsidRDefault="001C62B6" w:rsidP="001C62B6">
      <w:pPr>
        <w:rPr>
          <w:b/>
          <w:bCs/>
          <w:sz w:val="22"/>
          <w:szCs w:val="22"/>
        </w:rPr>
      </w:pPr>
      <w:r w:rsidRPr="001C62B6">
        <w:rPr>
          <w:b/>
          <w:bCs/>
        </w:rPr>
        <w:t>Support</w:t>
      </w:r>
      <w:r w:rsidR="000117A2">
        <w:rPr>
          <w:b/>
          <w:bCs/>
        </w:rPr>
        <w:t>ed</w:t>
      </w:r>
      <w:r w:rsidRPr="001C62B6">
        <w:rPr>
          <w:b/>
          <w:bCs/>
        </w:rPr>
        <w:t xml:space="preserve"> in principle</w:t>
      </w:r>
    </w:p>
    <w:p w14:paraId="3C1DE344" w14:textId="24D9789F" w:rsidR="000117A2" w:rsidRDefault="001C62B6" w:rsidP="006517D5">
      <w:pPr>
        <w:autoSpaceDE w:val="0"/>
        <w:autoSpaceDN w:val="0"/>
        <w:adjustRightInd w:val="0"/>
        <w:spacing w:after="240"/>
        <w:rPr>
          <w:iCs/>
        </w:rPr>
      </w:pPr>
      <w:r w:rsidRPr="001C62B6">
        <w:t xml:space="preserve">The 2020 Review of the </w:t>
      </w:r>
      <w:r w:rsidRPr="001C62B6">
        <w:rPr>
          <w:i/>
          <w:iCs/>
        </w:rPr>
        <w:t>Disability Standards for Education 2005</w:t>
      </w:r>
      <w:r w:rsidRPr="001C62B6">
        <w:t xml:space="preserve"> (the Standards) made recommendations to develop guidance and resources for students and their parents and carers on their rights under the </w:t>
      </w:r>
      <w:r w:rsidRPr="001C62B6">
        <w:rPr>
          <w:i/>
          <w:iCs/>
        </w:rPr>
        <w:t>Disability Discrimination Act 1992</w:t>
      </w:r>
      <w:r w:rsidRPr="001C62B6">
        <w:t xml:space="preserve"> (DDA) and the Standards.</w:t>
      </w:r>
    </w:p>
    <w:p w14:paraId="4D83DCD2" w14:textId="10633A05" w:rsidR="00F6563E" w:rsidRPr="001C62B6" w:rsidRDefault="000117A2" w:rsidP="006517D5">
      <w:pPr>
        <w:autoSpaceDE w:val="0"/>
        <w:autoSpaceDN w:val="0"/>
        <w:adjustRightInd w:val="0"/>
        <w:spacing w:after="240"/>
      </w:pPr>
      <w:r>
        <w:rPr>
          <w:iCs/>
        </w:rPr>
        <w:t>The </w:t>
      </w:r>
      <w:r w:rsidR="001C62B6" w:rsidRPr="001C62B6">
        <w:rPr>
          <w:iCs/>
        </w:rPr>
        <w:t>Department of Education</w:t>
      </w:r>
      <w:r>
        <w:t xml:space="preserve"> has commissioned Children </w:t>
      </w:r>
      <w:r w:rsidR="001C62B6" w:rsidRPr="001C62B6">
        <w:t>and Young People with Disability Australia (CY</w:t>
      </w:r>
      <w:r w:rsidR="001F40AA">
        <w:t>DA) to lead a co-</w:t>
      </w:r>
      <w:r>
        <w:t>design process to develop the resources which</w:t>
      </w:r>
      <w:r w:rsidR="001F40AA">
        <w:t xml:space="preserve"> are expected to </w:t>
      </w:r>
      <w:r w:rsidR="001C62B6" w:rsidRPr="001C62B6">
        <w:t xml:space="preserve">be available from </w:t>
      </w:r>
      <w:r w:rsidR="00B9491C">
        <w:t xml:space="preserve">the second half of </w:t>
      </w:r>
      <w:r w:rsidR="001C62B6" w:rsidRPr="001C62B6">
        <w:t>2022</w:t>
      </w:r>
      <w:r>
        <w:t>. The resources</w:t>
      </w:r>
      <w:r w:rsidR="001C62B6" w:rsidRPr="001C62B6">
        <w:t xml:space="preserve"> will provide </w:t>
      </w:r>
      <w:r>
        <w:t>practical guidance</w:t>
      </w:r>
      <w:r w:rsidR="001F40AA">
        <w:t xml:space="preserve"> in an easy-to-</w:t>
      </w:r>
      <w:r w:rsidR="001C62B6" w:rsidRPr="001C62B6">
        <w:t>understand format f</w:t>
      </w:r>
      <w:r>
        <w:t>or students with disability, i</w:t>
      </w:r>
      <w:r w:rsidR="009C1778">
        <w:t>ncluding autistic students, and </w:t>
      </w:r>
      <w:r w:rsidR="001C62B6" w:rsidRPr="001C62B6">
        <w:t xml:space="preserve">their parents and carers. The resources will help students, </w:t>
      </w:r>
      <w:r>
        <w:t>and parents and carers, to self</w:t>
      </w:r>
      <w:r>
        <w:noBreakHyphen/>
      </w:r>
      <w:r w:rsidR="001C62B6" w:rsidRPr="001C62B6">
        <w:t>advocate through key milestone and transition periods, including practical workbooks for advocating and creating an action plan to work</w:t>
      </w:r>
      <w:r w:rsidR="006517D5">
        <w:t xml:space="preserve"> with their education provider.</w:t>
      </w:r>
    </w:p>
    <w:p w14:paraId="182C05B5" w14:textId="14B2274B" w:rsidR="00F52A3D" w:rsidRDefault="008C2174" w:rsidP="006517D5">
      <w:pPr>
        <w:spacing w:after="240"/>
      </w:pPr>
      <w:r>
        <w:t xml:space="preserve">The Department of Education </w:t>
      </w:r>
      <w:r w:rsidR="00BA7539">
        <w:t>will promote the resources through the</w:t>
      </w:r>
      <w:r w:rsidR="001C62B6" w:rsidRPr="001C62B6">
        <w:t xml:space="preserve"> education</w:t>
      </w:r>
      <w:r w:rsidR="00BA7539">
        <w:t xml:space="preserve"> sector </w:t>
      </w:r>
      <w:r w:rsidR="001C62B6" w:rsidRPr="001C62B6">
        <w:t>and disability stakeholder networks</w:t>
      </w:r>
      <w:r w:rsidR="00B9491C">
        <w:t>, including to s</w:t>
      </w:r>
      <w:r w:rsidR="001C62B6" w:rsidRPr="001C62B6">
        <w:t xml:space="preserve">tate and </w:t>
      </w:r>
      <w:r w:rsidR="00F6563E">
        <w:t>t</w:t>
      </w:r>
      <w:r w:rsidR="001C62B6" w:rsidRPr="001C62B6">
        <w:t>erritory</w:t>
      </w:r>
      <w:r w:rsidR="00B9491C">
        <w:t xml:space="preserve"> education departments and</w:t>
      </w:r>
      <w:r w:rsidR="009C1778">
        <w:t xml:space="preserve"> non-</w:t>
      </w:r>
      <w:r w:rsidR="001C62B6" w:rsidRPr="001C62B6">
        <w:t>government school representatives will b</w:t>
      </w:r>
      <w:r w:rsidR="00BA7539">
        <w:t>e formally provided the resources</w:t>
      </w:r>
      <w:r w:rsidR="009C1778">
        <w:t xml:space="preserve"> and invited to </w:t>
      </w:r>
      <w:r w:rsidR="001C62B6" w:rsidRPr="001C62B6">
        <w:t xml:space="preserve">consider their use in their jurisdictions. </w:t>
      </w:r>
    </w:p>
    <w:p w14:paraId="162E1E51" w14:textId="208A27A8" w:rsidR="00362C40" w:rsidRDefault="00362C40">
      <w:pPr>
        <w:spacing w:after="160" w:line="259" w:lineRule="auto"/>
        <w:rPr>
          <w:b/>
        </w:rPr>
      </w:pPr>
      <w:r>
        <w:rPr>
          <w:b/>
        </w:rPr>
        <w:br w:type="page"/>
      </w:r>
    </w:p>
    <w:tbl>
      <w:tblPr>
        <w:tblStyle w:val="TableGrid"/>
        <w:tblW w:w="0" w:type="auto"/>
        <w:tblLook w:val="04A0" w:firstRow="1" w:lastRow="0" w:firstColumn="1" w:lastColumn="0" w:noHBand="0" w:noVBand="1"/>
        <w:tblDescription w:val="Decorative"/>
      </w:tblPr>
      <w:tblGrid>
        <w:gridCol w:w="9016"/>
      </w:tblGrid>
      <w:tr w:rsidR="00362C40" w14:paraId="2E23158A" w14:textId="77777777" w:rsidTr="00362C40">
        <w:tc>
          <w:tcPr>
            <w:tcW w:w="9016" w:type="dxa"/>
          </w:tcPr>
          <w:p w14:paraId="6B5CDAB0" w14:textId="77777777" w:rsidR="00362C40" w:rsidRPr="00362C40" w:rsidRDefault="00362C40" w:rsidP="00362C40">
            <w:pPr>
              <w:jc w:val="both"/>
              <w:rPr>
                <w:b/>
              </w:rPr>
            </w:pPr>
            <w:r w:rsidRPr="00362C40">
              <w:rPr>
                <w:b/>
              </w:rPr>
              <w:lastRenderedPageBreak/>
              <w:t>Recommendation 37</w:t>
            </w:r>
          </w:p>
          <w:p w14:paraId="64B27AEF" w14:textId="643E71FE" w:rsidR="00362C40" w:rsidRDefault="00362C40" w:rsidP="00362C40">
            <w:pPr>
              <w:rPr>
                <w:b/>
              </w:rPr>
            </w:pPr>
            <w:r w:rsidRPr="0005294A">
              <w:t>The committee recommends, as part of the inquiry into the National Disability Insurance Scheme proposed in Recommendation 6, that consideration be given to whether the National Disability Insurance Scheme could play a greater role in supporting the development of self-advocacy skills (as part of a participant's Capacity Building</w:t>
            </w:r>
            <w:r w:rsidRPr="0005294A">
              <w:rPr>
                <w:spacing w:val="-5"/>
              </w:rPr>
              <w:t xml:space="preserve"> </w:t>
            </w:r>
            <w:r w:rsidRPr="0005294A">
              <w:t>budget).</w:t>
            </w:r>
          </w:p>
        </w:tc>
      </w:tr>
    </w:tbl>
    <w:p w14:paraId="54554F9A" w14:textId="77777777" w:rsidR="00362C40" w:rsidRPr="00295365" w:rsidRDefault="00362C40" w:rsidP="008337E4"/>
    <w:p w14:paraId="36144B82" w14:textId="0C771E71" w:rsidR="008337E4" w:rsidRPr="00C9182D" w:rsidRDefault="0005294A" w:rsidP="0005294A">
      <w:pPr>
        <w:rPr>
          <w:b/>
        </w:rPr>
      </w:pPr>
      <w:r w:rsidRPr="00C9182D">
        <w:rPr>
          <w:b/>
        </w:rPr>
        <w:t>Support</w:t>
      </w:r>
      <w:r w:rsidR="003215B4">
        <w:rPr>
          <w:b/>
        </w:rPr>
        <w:t>ed</w:t>
      </w:r>
      <w:r w:rsidR="00BB501F">
        <w:rPr>
          <w:b/>
        </w:rPr>
        <w:t xml:space="preserve"> in principle</w:t>
      </w:r>
    </w:p>
    <w:p w14:paraId="309DAB07" w14:textId="1CC7F2CD" w:rsidR="00362C40" w:rsidRDefault="00B62FDB" w:rsidP="006517D5">
      <w:pPr>
        <w:spacing w:after="240"/>
      </w:pPr>
      <w:r>
        <w:t>The Australian G</w:t>
      </w:r>
      <w:r w:rsidR="00C9182D" w:rsidRPr="00C9182D">
        <w:t xml:space="preserve">overnment </w:t>
      </w:r>
      <w:r w:rsidR="00C9182D" w:rsidRPr="008735F9">
        <w:rPr>
          <w:bCs/>
        </w:rPr>
        <w:t>supports</w:t>
      </w:r>
      <w:r w:rsidR="00C9182D" w:rsidRPr="008735F9">
        <w:t xml:space="preserve"> this</w:t>
      </w:r>
      <w:r w:rsidR="00C9182D" w:rsidRPr="00C9182D">
        <w:t xml:space="preserve"> recommendation</w:t>
      </w:r>
      <w:r w:rsidR="00BB501F">
        <w:t xml:space="preserve"> in principle</w:t>
      </w:r>
      <w:r w:rsidR="00010B23">
        <w:t>, and looks forward to </w:t>
      </w:r>
      <w:r w:rsidR="00C9182D" w:rsidRPr="00C9182D">
        <w:t>working with the Joint Standing Committee.</w:t>
      </w:r>
      <w:r w:rsidR="00554D76">
        <w:t xml:space="preserve"> </w:t>
      </w:r>
      <w:r w:rsidR="00BB501F">
        <w:t>The NDIS supports NDIS participants to develop their capacity in ways that help them pursue their goals. This may include supporting them to understand their rights or how to speak up for themselves.</w:t>
      </w:r>
    </w:p>
    <w:p w14:paraId="3DED3910" w14:textId="26A140A6" w:rsidR="00662A1D" w:rsidRPr="00295365" w:rsidRDefault="00142E94" w:rsidP="00A12901">
      <w:pPr>
        <w:pStyle w:val="Heading2"/>
      </w:pPr>
      <w:r w:rsidRPr="00362C40">
        <w:t>Diagnostic services</w:t>
      </w:r>
    </w:p>
    <w:tbl>
      <w:tblPr>
        <w:tblStyle w:val="TableGrid"/>
        <w:tblW w:w="0" w:type="auto"/>
        <w:tblLook w:val="04A0" w:firstRow="1" w:lastRow="0" w:firstColumn="1" w:lastColumn="0" w:noHBand="0" w:noVBand="1"/>
        <w:tblDescription w:val="Decorative"/>
      </w:tblPr>
      <w:tblGrid>
        <w:gridCol w:w="9016"/>
      </w:tblGrid>
      <w:tr w:rsidR="002640F9" w14:paraId="7723EF9D" w14:textId="77777777" w:rsidTr="002640F9">
        <w:tc>
          <w:tcPr>
            <w:tcW w:w="9016" w:type="dxa"/>
          </w:tcPr>
          <w:p w14:paraId="1E7ABF39" w14:textId="77777777" w:rsidR="002640F9" w:rsidRPr="00AD4D5F" w:rsidRDefault="002640F9" w:rsidP="002640F9">
            <w:pPr>
              <w:ind w:left="120" w:hanging="91"/>
              <w:jc w:val="both"/>
              <w:rPr>
                <w:b/>
              </w:rPr>
            </w:pPr>
            <w:r w:rsidRPr="00AD4D5F">
              <w:rPr>
                <w:b/>
              </w:rPr>
              <w:t>Recommendation 38</w:t>
            </w:r>
          </w:p>
          <w:p w14:paraId="6606A5D4" w14:textId="3A9C3CE6" w:rsidR="002640F9" w:rsidRPr="008F4071" w:rsidRDefault="002640F9" w:rsidP="002640F9">
            <w:pPr>
              <w:widowControl w:val="0"/>
              <w:tabs>
                <w:tab w:val="left" w:pos="738"/>
              </w:tabs>
              <w:autoSpaceDE w:val="0"/>
              <w:autoSpaceDN w:val="0"/>
              <w:spacing w:before="60"/>
              <w:ind w:right="717"/>
            </w:pPr>
            <w:r w:rsidRPr="0005294A">
              <w:t>The</w:t>
            </w:r>
            <w:r w:rsidRPr="0005294A">
              <w:rPr>
                <w:spacing w:val="-13"/>
              </w:rPr>
              <w:t xml:space="preserve"> </w:t>
            </w:r>
            <w:r w:rsidRPr="0005294A">
              <w:t>committee</w:t>
            </w:r>
            <w:r w:rsidRPr="0005294A">
              <w:rPr>
                <w:spacing w:val="-12"/>
              </w:rPr>
              <w:t xml:space="preserve"> </w:t>
            </w:r>
            <w:r w:rsidRPr="0005294A">
              <w:t>recommends</w:t>
            </w:r>
            <w:r w:rsidRPr="0005294A">
              <w:rPr>
                <w:spacing w:val="-13"/>
              </w:rPr>
              <w:t xml:space="preserve"> </w:t>
            </w:r>
            <w:r w:rsidRPr="0005294A">
              <w:t>that,</w:t>
            </w:r>
            <w:r w:rsidRPr="0005294A">
              <w:rPr>
                <w:spacing w:val="-13"/>
              </w:rPr>
              <w:t xml:space="preserve"> </w:t>
            </w:r>
            <w:r w:rsidRPr="0005294A">
              <w:t>as</w:t>
            </w:r>
            <w:r w:rsidRPr="0005294A">
              <w:rPr>
                <w:spacing w:val="-13"/>
              </w:rPr>
              <w:t xml:space="preserve"> </w:t>
            </w:r>
            <w:r w:rsidRPr="0005294A">
              <w:t>a</w:t>
            </w:r>
            <w:r w:rsidRPr="0005294A">
              <w:rPr>
                <w:spacing w:val="-12"/>
              </w:rPr>
              <w:t xml:space="preserve"> </w:t>
            </w:r>
            <w:r w:rsidRPr="0005294A">
              <w:t>matter</w:t>
            </w:r>
            <w:r w:rsidRPr="0005294A">
              <w:rPr>
                <w:spacing w:val="-13"/>
              </w:rPr>
              <w:t xml:space="preserve"> </w:t>
            </w:r>
            <w:r w:rsidRPr="0005294A">
              <w:t>of</w:t>
            </w:r>
            <w:r w:rsidRPr="0005294A">
              <w:rPr>
                <w:spacing w:val="-12"/>
              </w:rPr>
              <w:t xml:space="preserve"> </w:t>
            </w:r>
            <w:r w:rsidRPr="0005294A">
              <w:t>priority,</w:t>
            </w:r>
            <w:r w:rsidRPr="0005294A">
              <w:rPr>
                <w:spacing w:val="-12"/>
              </w:rPr>
              <w:t xml:space="preserve"> </w:t>
            </w:r>
            <w:r w:rsidRPr="0005294A">
              <w:t>the</w:t>
            </w:r>
            <w:r w:rsidRPr="0005294A">
              <w:rPr>
                <w:spacing w:val="-13"/>
              </w:rPr>
              <w:t xml:space="preserve"> </w:t>
            </w:r>
            <w:r w:rsidRPr="0005294A">
              <w:t>National Autism Strat</w:t>
            </w:r>
            <w:r w:rsidR="00A12901">
              <w:t xml:space="preserve">egy   identify actions to improve access to autism </w:t>
            </w:r>
            <w:r w:rsidRPr="0005294A">
              <w:t xml:space="preserve">diagnosis. This </w:t>
            </w:r>
            <w:r w:rsidRPr="008F4071">
              <w:t>should include:</w:t>
            </w:r>
          </w:p>
          <w:p w14:paraId="281491BB" w14:textId="77777777" w:rsidR="002640F9" w:rsidRPr="008F4071" w:rsidRDefault="002640F9" w:rsidP="002640F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8F4071">
              <w:rPr>
                <w:rFonts w:ascii="Times New Roman" w:hAnsi="Times New Roman" w:cs="Times New Roman"/>
                <w:sz w:val="24"/>
                <w:szCs w:val="24"/>
              </w:rPr>
              <w:t>establishing, and publicly reporting on progress against, an agreed target for a maximum waiting time for diagnosis that reflects best practice;</w:t>
            </w:r>
          </w:p>
          <w:p w14:paraId="38277300" w14:textId="77777777" w:rsidR="002640F9" w:rsidRPr="008F4071" w:rsidRDefault="002640F9" w:rsidP="002640F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8F4071">
              <w:rPr>
                <w:rFonts w:ascii="Times New Roman" w:hAnsi="Times New Roman" w:cs="Times New Roman"/>
                <w:sz w:val="24"/>
                <w:szCs w:val="24"/>
              </w:rPr>
              <w:t>improving information for families and adults about autism and the pathways to diagnosis;</w:t>
            </w:r>
          </w:p>
          <w:p w14:paraId="5C738617" w14:textId="77777777" w:rsidR="002640F9" w:rsidRPr="008F4071" w:rsidRDefault="002640F9" w:rsidP="002640F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8F4071">
              <w:rPr>
                <w:rFonts w:ascii="Times New Roman" w:hAnsi="Times New Roman" w:cs="Times New Roman"/>
                <w:sz w:val="24"/>
                <w:szCs w:val="24"/>
              </w:rPr>
              <w:t>identifying opportunities to co-locate autism screening and assessment services within existing services, such as maternal health clinics, early childhood and child care services, and school education settings;</w:t>
            </w:r>
          </w:p>
          <w:p w14:paraId="56EBF7F2" w14:textId="77777777" w:rsidR="002640F9" w:rsidRPr="008F4071" w:rsidRDefault="002640F9" w:rsidP="002640F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8F4071">
              <w:rPr>
                <w:rFonts w:ascii="Times New Roman" w:hAnsi="Times New Roman" w:cs="Times New Roman"/>
                <w:sz w:val="24"/>
                <w:szCs w:val="24"/>
              </w:rPr>
              <w:t>a national rollout of the Olga Tennison Autism Research Centre’s training program for maternal and child health nurses to improve early identification of autism;</w:t>
            </w:r>
          </w:p>
          <w:p w14:paraId="3593E5B7" w14:textId="77777777" w:rsidR="002640F9" w:rsidRPr="008F4071" w:rsidRDefault="002640F9" w:rsidP="002640F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8F4071">
              <w:rPr>
                <w:rFonts w:ascii="Times New Roman" w:hAnsi="Times New Roman" w:cs="Times New Roman"/>
                <w:sz w:val="24"/>
                <w:szCs w:val="24"/>
              </w:rPr>
              <w:t>identifying opportunities for collaboration between maternal health care nurses and early childhood educators to support identification of, and communication about, autism in early childhood and child care settings;</w:t>
            </w:r>
          </w:p>
          <w:p w14:paraId="05E07F6A" w14:textId="77777777" w:rsidR="002640F9" w:rsidRPr="008F4071" w:rsidRDefault="002640F9" w:rsidP="002640F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8F4071">
              <w:rPr>
                <w:rFonts w:ascii="Times New Roman" w:hAnsi="Times New Roman" w:cs="Times New Roman"/>
                <w:sz w:val="24"/>
                <w:szCs w:val="24"/>
              </w:rPr>
              <w:t>promoting use of the ASDetect app by parents, health practitioners and educators</w:t>
            </w:r>
          </w:p>
          <w:p w14:paraId="1084C87F" w14:textId="77777777" w:rsidR="002640F9" w:rsidRPr="008F4071" w:rsidRDefault="002640F9" w:rsidP="002640F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8F4071">
              <w:rPr>
                <w:rFonts w:ascii="Times New Roman" w:hAnsi="Times New Roman" w:cs="Times New Roman"/>
                <w:sz w:val="24"/>
                <w:szCs w:val="24"/>
              </w:rPr>
              <w:t>developing diagnostic tools that are more sensitive to the heterogenic presentation of autism, particularly in women and girls;</w:t>
            </w:r>
          </w:p>
          <w:p w14:paraId="510C7273" w14:textId="77777777" w:rsidR="002640F9" w:rsidRPr="008F4071" w:rsidRDefault="002640F9" w:rsidP="002640F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8F4071">
              <w:rPr>
                <w:rFonts w:ascii="Times New Roman" w:hAnsi="Times New Roman" w:cs="Times New Roman"/>
                <w:sz w:val="24"/>
                <w:szCs w:val="24"/>
              </w:rPr>
              <w:t>working with medical colleges and professional bodies to improve the supply of healthcare professionals with expertise in autism diagnosis;</w:t>
            </w:r>
          </w:p>
          <w:p w14:paraId="658F7619" w14:textId="77777777" w:rsidR="002640F9" w:rsidRPr="008F4071" w:rsidRDefault="002640F9" w:rsidP="002640F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8F4071">
              <w:rPr>
                <w:rFonts w:ascii="Times New Roman" w:hAnsi="Times New Roman" w:cs="Times New Roman"/>
                <w:sz w:val="24"/>
                <w:szCs w:val="24"/>
              </w:rPr>
              <w:t>embedding autism within initial education courses for healthcare professionals and educators, including training in the heterogenic presentation of autism;</w:t>
            </w:r>
          </w:p>
          <w:p w14:paraId="302DBBF3" w14:textId="77777777" w:rsidR="00554D76" w:rsidRDefault="002640F9" w:rsidP="002640F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8F4071">
              <w:rPr>
                <w:rFonts w:ascii="Times New Roman" w:hAnsi="Times New Roman" w:cs="Times New Roman"/>
                <w:sz w:val="24"/>
                <w:szCs w:val="24"/>
              </w:rPr>
              <w:t>promoting use of the Autism</w:t>
            </w:r>
            <w:r w:rsidRPr="0005294A">
              <w:rPr>
                <w:rFonts w:ascii="Times New Roman" w:hAnsi="Times New Roman" w:cs="Times New Roman"/>
                <w:sz w:val="24"/>
                <w:szCs w:val="24"/>
              </w:rPr>
              <w:t xml:space="preserve"> HealthPathways platform to aid clinical decision-making in relation to autism assessments; and</w:t>
            </w:r>
          </w:p>
          <w:p w14:paraId="5787285A" w14:textId="540A74C0" w:rsidR="002640F9" w:rsidRPr="00554D76" w:rsidRDefault="002640F9" w:rsidP="002640F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05294A">
              <w:rPr>
                <w:rFonts w:ascii="Times New Roman" w:hAnsi="Times New Roman" w:cs="Times New Roman"/>
                <w:sz w:val="24"/>
                <w:szCs w:val="24"/>
              </w:rPr>
              <w:t>identifying ways to improve access to diagnostic services for people in regional and remote areas, including telehealth options.</w:t>
            </w:r>
          </w:p>
        </w:tc>
      </w:tr>
    </w:tbl>
    <w:p w14:paraId="2ADEB402" w14:textId="526EE8D1" w:rsidR="002640F9" w:rsidRPr="006A1CA5" w:rsidRDefault="009E27B7" w:rsidP="009E27B7">
      <w:pPr>
        <w:spacing w:after="160" w:line="259" w:lineRule="auto"/>
        <w:rPr>
          <w:b/>
          <w:u w:val="single"/>
        </w:rPr>
      </w:pPr>
      <w:r>
        <w:rPr>
          <w:b/>
          <w:u w:val="single"/>
        </w:rPr>
        <w:br w:type="page"/>
      </w:r>
    </w:p>
    <w:p w14:paraId="50B2ED3C" w14:textId="5029083E" w:rsidR="00662A1D" w:rsidRPr="008F4071" w:rsidRDefault="00662A1D" w:rsidP="00662A1D">
      <w:r>
        <w:rPr>
          <w:b/>
        </w:rPr>
        <w:lastRenderedPageBreak/>
        <w:t>Support</w:t>
      </w:r>
      <w:r w:rsidR="001D4088">
        <w:rPr>
          <w:b/>
        </w:rPr>
        <w:t>ed</w:t>
      </w:r>
      <w:r w:rsidR="000445A8">
        <w:rPr>
          <w:b/>
        </w:rPr>
        <w:t xml:space="preserve"> in Principle</w:t>
      </w:r>
    </w:p>
    <w:p w14:paraId="3BC8BCAF" w14:textId="2E2A1AC6" w:rsidR="00CA58D4" w:rsidRDefault="00CA58D4" w:rsidP="006517D5">
      <w:pPr>
        <w:spacing w:after="240"/>
      </w:pPr>
      <w:r w:rsidRPr="00A0572F">
        <w:t xml:space="preserve">The </w:t>
      </w:r>
      <w:r w:rsidR="00B62FDB">
        <w:t xml:space="preserve">Australian </w:t>
      </w:r>
      <w:r>
        <w:t>Government</w:t>
      </w:r>
      <w:r w:rsidRPr="00A0572F">
        <w:t xml:space="preserve"> supports </w:t>
      </w:r>
      <w:r w:rsidR="000445A8">
        <w:t xml:space="preserve">in principle </w:t>
      </w:r>
      <w:r w:rsidRPr="00A0572F">
        <w:t>this recommendation and acknowledges the importance of access to in</w:t>
      </w:r>
      <w:r>
        <w:t xml:space="preserve">formation about autism, including diagnosis.  </w:t>
      </w:r>
    </w:p>
    <w:p w14:paraId="429AD975" w14:textId="36A95D65" w:rsidR="00D401D2" w:rsidRDefault="009B70F2" w:rsidP="006517D5">
      <w:pPr>
        <w:spacing w:after="240"/>
      </w:pPr>
      <w:r>
        <w:t>The</w:t>
      </w:r>
      <w:r w:rsidR="00B62FDB">
        <w:t xml:space="preserve"> Australian</w:t>
      </w:r>
      <w:r>
        <w:t xml:space="preserve"> Government is</w:t>
      </w:r>
      <w:r w:rsidR="008F4071">
        <w:t xml:space="preserve"> already</w:t>
      </w:r>
      <w:r>
        <w:t xml:space="preserve"> supporting implementation of the National Guideline for the Assessment and Diagnosis of Autism Spectrum Disorders in Australia (the Guideline), to create greater consistency in diagnostic practices across Australia and facilitate access to targeted supports and services. The Guideline intends to standardise and provide for rigorous and accurate diagnostic outcomes for </w:t>
      </w:r>
      <w:r w:rsidR="007268DE">
        <w:t xml:space="preserve">autistic </w:t>
      </w:r>
      <w:r>
        <w:t>children and adults</w:t>
      </w:r>
      <w:r w:rsidR="007268DE">
        <w:t xml:space="preserve"> </w:t>
      </w:r>
      <w:r>
        <w:t>across a range of healthcare settings</w:t>
      </w:r>
      <w:r w:rsidR="006517D5">
        <w:t xml:space="preserve"> and professions in Australia. </w:t>
      </w:r>
    </w:p>
    <w:p w14:paraId="0E4DC880" w14:textId="71B5B763" w:rsidR="001D4088" w:rsidRDefault="009B70F2" w:rsidP="006517D5">
      <w:pPr>
        <w:spacing w:after="240"/>
      </w:pPr>
      <w:r>
        <w:t xml:space="preserve">To support greater take-up of the best practice approaches to assessment and diagnosis outlined in the Guideline, the Department of Social Services </w:t>
      </w:r>
      <w:r w:rsidR="00C40647">
        <w:t xml:space="preserve">(the department) </w:t>
      </w:r>
      <w:r>
        <w:t xml:space="preserve">has established </w:t>
      </w:r>
      <w:r w:rsidR="001D4088">
        <w:t>an Expert </w:t>
      </w:r>
      <w:r w:rsidR="008F4071">
        <w:t xml:space="preserve">Reference Group (ERG) </w:t>
      </w:r>
      <w:r>
        <w:t>comprising membership from health professional associations and consumer groups. Th</w:t>
      </w:r>
      <w:r w:rsidR="00C40647">
        <w:t>e department</w:t>
      </w:r>
      <w:r>
        <w:t xml:space="preserve"> has also funded associated activities to support greater take</w:t>
      </w:r>
      <w:r w:rsidR="001D4088">
        <w:t>-</w:t>
      </w:r>
      <w:r>
        <w:t xml:space="preserve">up, </w:t>
      </w:r>
      <w:r w:rsidRPr="009400A3">
        <w:t>including:</w:t>
      </w:r>
    </w:p>
    <w:p w14:paraId="418E139A" w14:textId="709C8EFD" w:rsidR="009B70F2" w:rsidRPr="009B70F2" w:rsidRDefault="009B70F2" w:rsidP="001D4088">
      <w:pPr>
        <w:pStyle w:val="ListParagraph"/>
        <w:numPr>
          <w:ilvl w:val="0"/>
          <w:numId w:val="7"/>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Funding provided to the Autism </w:t>
      </w:r>
      <w:r w:rsidR="003E78A9">
        <w:rPr>
          <w:rFonts w:ascii="Times New Roman" w:hAnsi="Times New Roman" w:cs="Times New Roman"/>
          <w:sz w:val="24"/>
          <w:szCs w:val="24"/>
        </w:rPr>
        <w:t>C</w:t>
      </w:r>
      <w:r w:rsidR="009400A3">
        <w:rPr>
          <w:rFonts w:ascii="Times New Roman" w:hAnsi="Times New Roman" w:cs="Times New Roman"/>
          <w:sz w:val="24"/>
          <w:szCs w:val="24"/>
        </w:rPr>
        <w:t xml:space="preserve">ooperative </w:t>
      </w:r>
      <w:r w:rsidR="003E78A9">
        <w:rPr>
          <w:rFonts w:ascii="Times New Roman" w:hAnsi="Times New Roman" w:cs="Times New Roman"/>
          <w:sz w:val="24"/>
          <w:szCs w:val="24"/>
        </w:rPr>
        <w:t>R</w:t>
      </w:r>
      <w:r w:rsidR="009400A3">
        <w:rPr>
          <w:rFonts w:ascii="Times New Roman" w:hAnsi="Times New Roman" w:cs="Times New Roman"/>
          <w:sz w:val="24"/>
          <w:szCs w:val="24"/>
        </w:rPr>
        <w:t xml:space="preserve">esearch </w:t>
      </w:r>
      <w:r w:rsidR="003E78A9">
        <w:rPr>
          <w:rFonts w:ascii="Times New Roman" w:hAnsi="Times New Roman" w:cs="Times New Roman"/>
          <w:sz w:val="24"/>
          <w:szCs w:val="24"/>
        </w:rPr>
        <w:t>C</w:t>
      </w:r>
      <w:r w:rsidR="009400A3">
        <w:rPr>
          <w:rFonts w:ascii="Times New Roman" w:hAnsi="Times New Roman" w:cs="Times New Roman"/>
          <w:sz w:val="24"/>
          <w:szCs w:val="24"/>
        </w:rPr>
        <w:t>entre (Autism CRC), the Guideline developers,</w:t>
      </w:r>
      <w:r>
        <w:rPr>
          <w:rFonts w:ascii="Times New Roman" w:hAnsi="Times New Roman" w:cs="Times New Roman"/>
          <w:sz w:val="24"/>
          <w:szCs w:val="24"/>
        </w:rPr>
        <w:t xml:space="preserve"> to develop </w:t>
      </w:r>
      <w:r w:rsidR="00CA58D4">
        <w:rPr>
          <w:rFonts w:ascii="Times New Roman" w:hAnsi="Times New Roman" w:cs="Times New Roman"/>
          <w:sz w:val="24"/>
          <w:szCs w:val="24"/>
        </w:rPr>
        <w:t>the Nat</w:t>
      </w:r>
      <w:r w:rsidR="001D4088">
        <w:rPr>
          <w:rFonts w:ascii="Times New Roman" w:hAnsi="Times New Roman" w:cs="Times New Roman"/>
          <w:sz w:val="24"/>
          <w:szCs w:val="24"/>
        </w:rPr>
        <w:t xml:space="preserve">ional Implementation Toolkit – a </w:t>
      </w:r>
      <w:r w:rsidR="009400A3">
        <w:rPr>
          <w:rFonts w:ascii="Times New Roman" w:hAnsi="Times New Roman" w:cs="Times New Roman"/>
          <w:sz w:val="24"/>
          <w:szCs w:val="24"/>
        </w:rPr>
        <w:t>set of </w:t>
      </w:r>
      <w:r w:rsidR="00CA58D4">
        <w:rPr>
          <w:rFonts w:ascii="Times New Roman" w:hAnsi="Times New Roman" w:cs="Times New Roman"/>
          <w:sz w:val="24"/>
          <w:szCs w:val="24"/>
        </w:rPr>
        <w:t xml:space="preserve">resources to promote the Guideline </w:t>
      </w:r>
      <w:r>
        <w:rPr>
          <w:rFonts w:ascii="Times New Roman" w:hAnsi="Times New Roman" w:cs="Times New Roman"/>
          <w:sz w:val="24"/>
          <w:szCs w:val="24"/>
        </w:rPr>
        <w:t xml:space="preserve">to health professionals and </w:t>
      </w:r>
      <w:r w:rsidR="007268DE">
        <w:rPr>
          <w:rFonts w:ascii="Times New Roman" w:hAnsi="Times New Roman" w:cs="Times New Roman"/>
          <w:sz w:val="24"/>
          <w:szCs w:val="24"/>
        </w:rPr>
        <w:t xml:space="preserve">autistic people and </w:t>
      </w:r>
      <w:r w:rsidR="00CA58D4">
        <w:rPr>
          <w:rFonts w:ascii="Times New Roman" w:hAnsi="Times New Roman" w:cs="Times New Roman"/>
          <w:sz w:val="24"/>
          <w:szCs w:val="24"/>
        </w:rPr>
        <w:t xml:space="preserve">their </w:t>
      </w:r>
      <w:r>
        <w:rPr>
          <w:rFonts w:ascii="Times New Roman" w:hAnsi="Times New Roman" w:cs="Times New Roman"/>
          <w:sz w:val="24"/>
          <w:szCs w:val="24"/>
        </w:rPr>
        <w:t>families and carers.</w:t>
      </w:r>
    </w:p>
    <w:p w14:paraId="52D5DD94" w14:textId="734CF4A9" w:rsidR="009B70F2" w:rsidRDefault="009B70F2" w:rsidP="001D4088">
      <w:pPr>
        <w:pStyle w:val="ListParagraph"/>
        <w:numPr>
          <w:ilvl w:val="0"/>
          <w:numId w:val="7"/>
        </w:numPr>
        <w:spacing w:after="0" w:line="240" w:lineRule="auto"/>
        <w:ind w:left="714" w:hanging="357"/>
        <w:rPr>
          <w:rFonts w:ascii="Times New Roman" w:hAnsi="Times New Roman" w:cs="Times New Roman"/>
          <w:sz w:val="24"/>
          <w:szCs w:val="24"/>
        </w:rPr>
      </w:pPr>
      <w:r w:rsidRPr="009B70F2">
        <w:rPr>
          <w:rFonts w:ascii="Times New Roman" w:hAnsi="Times New Roman" w:cs="Times New Roman"/>
          <w:sz w:val="24"/>
          <w:szCs w:val="24"/>
        </w:rPr>
        <w:t xml:space="preserve">Funding provided to the Autism </w:t>
      </w:r>
      <w:r w:rsidR="003E78A9">
        <w:rPr>
          <w:rFonts w:ascii="Times New Roman" w:hAnsi="Times New Roman" w:cs="Times New Roman"/>
          <w:sz w:val="24"/>
          <w:szCs w:val="24"/>
        </w:rPr>
        <w:t>CRC</w:t>
      </w:r>
      <w:r w:rsidRPr="009B70F2">
        <w:rPr>
          <w:rFonts w:ascii="Times New Roman" w:hAnsi="Times New Roman" w:cs="Times New Roman"/>
          <w:sz w:val="24"/>
          <w:szCs w:val="24"/>
        </w:rPr>
        <w:t xml:space="preserve"> to support establishment and operationalisation of the ERG.</w:t>
      </w:r>
    </w:p>
    <w:p w14:paraId="798E0134" w14:textId="61A46C78" w:rsidR="009B70F2" w:rsidRDefault="009B70F2" w:rsidP="001D4088">
      <w:pPr>
        <w:pStyle w:val="ListParagraph"/>
        <w:numPr>
          <w:ilvl w:val="0"/>
          <w:numId w:val="7"/>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Funding</w:t>
      </w:r>
      <w:r w:rsidR="008F4071">
        <w:rPr>
          <w:rFonts w:ascii="Times New Roman" w:hAnsi="Times New Roman" w:cs="Times New Roman"/>
          <w:sz w:val="24"/>
          <w:szCs w:val="24"/>
        </w:rPr>
        <w:t xml:space="preserve"> provided</w:t>
      </w:r>
      <w:r>
        <w:rPr>
          <w:rFonts w:ascii="Times New Roman" w:hAnsi="Times New Roman" w:cs="Times New Roman"/>
          <w:sz w:val="24"/>
          <w:szCs w:val="24"/>
        </w:rPr>
        <w:t xml:space="preserve"> to Australian Healthcare Associates to conduct an independent ev</w:t>
      </w:r>
      <w:r w:rsidR="001D4088">
        <w:rPr>
          <w:rFonts w:ascii="Times New Roman" w:hAnsi="Times New Roman" w:cs="Times New Roman"/>
          <w:sz w:val="24"/>
          <w:szCs w:val="24"/>
        </w:rPr>
        <w:t>aluation of the reach and take-up</w:t>
      </w:r>
      <w:r>
        <w:rPr>
          <w:rFonts w:ascii="Times New Roman" w:hAnsi="Times New Roman" w:cs="Times New Roman"/>
          <w:sz w:val="24"/>
          <w:szCs w:val="24"/>
        </w:rPr>
        <w:t xml:space="preserve"> of the Guideline.</w:t>
      </w:r>
    </w:p>
    <w:p w14:paraId="40FCC786" w14:textId="454CDBF9" w:rsidR="006517D5" w:rsidRPr="006517D5" w:rsidRDefault="009B70F2" w:rsidP="006517D5">
      <w:pPr>
        <w:pStyle w:val="ListParagraph"/>
        <w:numPr>
          <w:ilvl w:val="0"/>
          <w:numId w:val="7"/>
        </w:numPr>
        <w:spacing w:after="24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Funding provided to the Autism C</w:t>
      </w:r>
      <w:r w:rsidR="003E78A9">
        <w:rPr>
          <w:rFonts w:ascii="Times New Roman" w:hAnsi="Times New Roman" w:cs="Times New Roman"/>
          <w:sz w:val="24"/>
          <w:szCs w:val="24"/>
        </w:rPr>
        <w:t>RC</w:t>
      </w:r>
      <w:r>
        <w:rPr>
          <w:rFonts w:ascii="Times New Roman" w:hAnsi="Times New Roman" w:cs="Times New Roman"/>
          <w:sz w:val="24"/>
          <w:szCs w:val="24"/>
        </w:rPr>
        <w:t xml:space="preserve"> through the I</w:t>
      </w:r>
      <w:r w:rsidR="003F73D4">
        <w:rPr>
          <w:rFonts w:ascii="Times New Roman" w:hAnsi="Times New Roman" w:cs="Times New Roman"/>
          <w:sz w:val="24"/>
          <w:szCs w:val="24"/>
        </w:rPr>
        <w:t xml:space="preserve">nformation, </w:t>
      </w:r>
      <w:r w:rsidR="001D4088">
        <w:rPr>
          <w:rFonts w:ascii="Times New Roman" w:hAnsi="Times New Roman" w:cs="Times New Roman"/>
          <w:sz w:val="24"/>
          <w:szCs w:val="24"/>
        </w:rPr>
        <w:t>L</w:t>
      </w:r>
      <w:r w:rsidR="003F73D4">
        <w:rPr>
          <w:rFonts w:ascii="Times New Roman" w:hAnsi="Times New Roman" w:cs="Times New Roman"/>
          <w:sz w:val="24"/>
          <w:szCs w:val="24"/>
        </w:rPr>
        <w:t xml:space="preserve">inkages and </w:t>
      </w:r>
      <w:r w:rsidR="001D4088">
        <w:rPr>
          <w:rFonts w:ascii="Times New Roman" w:hAnsi="Times New Roman" w:cs="Times New Roman"/>
          <w:sz w:val="24"/>
          <w:szCs w:val="24"/>
        </w:rPr>
        <w:t>C</w:t>
      </w:r>
      <w:r w:rsidR="003F73D4">
        <w:rPr>
          <w:rFonts w:ascii="Times New Roman" w:hAnsi="Times New Roman" w:cs="Times New Roman"/>
          <w:sz w:val="24"/>
          <w:szCs w:val="24"/>
        </w:rPr>
        <w:t>apacity Building (ILC)</w:t>
      </w:r>
      <w:r w:rsidR="001D4088">
        <w:rPr>
          <w:rFonts w:ascii="Times New Roman" w:hAnsi="Times New Roman" w:cs="Times New Roman"/>
          <w:sz w:val="24"/>
          <w:szCs w:val="24"/>
        </w:rPr>
        <w:t xml:space="preserve"> </w:t>
      </w:r>
      <w:r>
        <w:rPr>
          <w:rFonts w:ascii="Times New Roman" w:hAnsi="Times New Roman" w:cs="Times New Roman"/>
          <w:sz w:val="24"/>
          <w:szCs w:val="24"/>
        </w:rPr>
        <w:t>program for</w:t>
      </w:r>
      <w:r w:rsidR="001D4088">
        <w:rPr>
          <w:rFonts w:ascii="Times New Roman" w:hAnsi="Times New Roman" w:cs="Times New Roman"/>
          <w:sz w:val="24"/>
          <w:szCs w:val="24"/>
        </w:rPr>
        <w:t xml:space="preserve"> the National Best</w:t>
      </w:r>
      <w:r w:rsidR="001D4088">
        <w:rPr>
          <w:rFonts w:ascii="Times New Roman" w:hAnsi="Times New Roman" w:cs="Times New Roman"/>
          <w:sz w:val="24"/>
          <w:szCs w:val="24"/>
        </w:rPr>
        <w:noBreakHyphen/>
      </w:r>
      <w:r w:rsidR="00CA58D4">
        <w:rPr>
          <w:rFonts w:ascii="Times New Roman" w:hAnsi="Times New Roman" w:cs="Times New Roman"/>
          <w:sz w:val="24"/>
          <w:szCs w:val="24"/>
        </w:rPr>
        <w:t xml:space="preserve">Practice Assessment and Diagnosis project to </w:t>
      </w:r>
      <w:r>
        <w:rPr>
          <w:rFonts w:ascii="Times New Roman" w:hAnsi="Times New Roman" w:cs="Times New Roman"/>
          <w:sz w:val="24"/>
          <w:szCs w:val="24"/>
        </w:rPr>
        <w:t>devel</w:t>
      </w:r>
      <w:r w:rsidR="00CA58D4">
        <w:rPr>
          <w:rFonts w:ascii="Times New Roman" w:hAnsi="Times New Roman" w:cs="Times New Roman"/>
          <w:sz w:val="24"/>
          <w:szCs w:val="24"/>
        </w:rPr>
        <w:t>op resources to support mainstream</w:t>
      </w:r>
      <w:r>
        <w:rPr>
          <w:rFonts w:ascii="Times New Roman" w:hAnsi="Times New Roman" w:cs="Times New Roman"/>
          <w:sz w:val="24"/>
          <w:szCs w:val="24"/>
        </w:rPr>
        <w:t xml:space="preserve"> health pro</w:t>
      </w:r>
      <w:r w:rsidR="00CA58D4">
        <w:rPr>
          <w:rFonts w:ascii="Times New Roman" w:hAnsi="Times New Roman" w:cs="Times New Roman"/>
          <w:sz w:val="24"/>
          <w:szCs w:val="24"/>
        </w:rPr>
        <w:t>viders</w:t>
      </w:r>
      <w:r>
        <w:rPr>
          <w:rFonts w:ascii="Times New Roman" w:hAnsi="Times New Roman" w:cs="Times New Roman"/>
          <w:sz w:val="24"/>
          <w:szCs w:val="24"/>
        </w:rPr>
        <w:t xml:space="preserve"> </w:t>
      </w:r>
      <w:r w:rsidR="00CA58D4">
        <w:rPr>
          <w:rFonts w:ascii="Times New Roman" w:hAnsi="Times New Roman" w:cs="Times New Roman"/>
          <w:sz w:val="24"/>
          <w:szCs w:val="24"/>
        </w:rPr>
        <w:t>involved in the assessment and diagnosis of autism</w:t>
      </w:r>
      <w:r>
        <w:rPr>
          <w:rFonts w:ascii="Times New Roman" w:hAnsi="Times New Roman" w:cs="Times New Roman"/>
          <w:sz w:val="24"/>
          <w:szCs w:val="24"/>
        </w:rPr>
        <w:t>.</w:t>
      </w:r>
      <w:r w:rsidR="001D4088">
        <w:rPr>
          <w:rFonts w:ascii="Times New Roman" w:hAnsi="Times New Roman" w:cs="Times New Roman"/>
          <w:sz w:val="24"/>
          <w:szCs w:val="24"/>
        </w:rPr>
        <w:t xml:space="preserve"> This </w:t>
      </w:r>
      <w:r w:rsidR="00ED292E">
        <w:rPr>
          <w:rFonts w:ascii="Times New Roman" w:hAnsi="Times New Roman" w:cs="Times New Roman"/>
          <w:sz w:val="24"/>
          <w:szCs w:val="24"/>
        </w:rPr>
        <w:t>project builds on</w:t>
      </w:r>
      <w:r w:rsidR="003E78A9">
        <w:rPr>
          <w:rFonts w:ascii="Times New Roman" w:hAnsi="Times New Roman" w:cs="Times New Roman"/>
          <w:sz w:val="24"/>
          <w:szCs w:val="24"/>
        </w:rPr>
        <w:t xml:space="preserve"> the Autism CRC’s</w:t>
      </w:r>
      <w:r w:rsidR="00ED292E">
        <w:rPr>
          <w:rFonts w:ascii="Times New Roman" w:hAnsi="Times New Roman" w:cs="Times New Roman"/>
          <w:sz w:val="24"/>
          <w:szCs w:val="24"/>
        </w:rPr>
        <w:t xml:space="preserve"> National Implementation Toolkit.</w:t>
      </w:r>
    </w:p>
    <w:p w14:paraId="4A0E2629" w14:textId="1BB3598B" w:rsidR="00C4015E" w:rsidRPr="003F73D4" w:rsidRDefault="00ED292E" w:rsidP="006517D5">
      <w:pPr>
        <w:spacing w:after="240"/>
      </w:pPr>
      <w:r>
        <w:t>The ILC</w:t>
      </w:r>
      <w:r w:rsidR="00CA58D4">
        <w:t xml:space="preserve"> </w:t>
      </w:r>
      <w:r w:rsidR="00CA58D4" w:rsidRPr="00A0572F">
        <w:t>program</w:t>
      </w:r>
      <w:r>
        <w:t xml:space="preserve"> has also provided </w:t>
      </w:r>
      <w:r w:rsidR="003C524C">
        <w:t xml:space="preserve">one-off grant </w:t>
      </w:r>
      <w:r>
        <w:t xml:space="preserve">funding to </w:t>
      </w:r>
      <w:r w:rsidR="00CA58D4">
        <w:t>Amaze Inco</w:t>
      </w:r>
      <w:r w:rsidR="003F73D4">
        <w:t xml:space="preserve">rporated for </w:t>
      </w:r>
      <w:r w:rsidR="003F73D4" w:rsidRPr="003F73D4">
        <w:t>Autism</w:t>
      </w:r>
      <w:r w:rsidR="003F73D4">
        <w:t> </w:t>
      </w:r>
      <w:r w:rsidR="001D4088" w:rsidRPr="003F73D4">
        <w:t>Connect</w:t>
      </w:r>
      <w:r w:rsidR="001D4088">
        <w:t xml:space="preserve"> – a </w:t>
      </w:r>
      <w:r w:rsidR="00CA58D4">
        <w:t>national information service for autistic people, their families and carers, health professionals, researchers, teacher</w:t>
      </w:r>
      <w:r w:rsidR="003F73D4">
        <w:t>s</w:t>
      </w:r>
      <w:r w:rsidR="00CA58D4">
        <w:t>, employ</w:t>
      </w:r>
      <w:r w:rsidR="006517D5">
        <w:t xml:space="preserve">ers and the broader community. </w:t>
      </w:r>
    </w:p>
    <w:p w14:paraId="40B8B186" w14:textId="7AE1E8B7" w:rsidR="00C4015E" w:rsidRPr="003F73D4" w:rsidRDefault="00CB1A17" w:rsidP="006517D5">
      <w:pPr>
        <w:spacing w:after="240"/>
      </w:pPr>
      <w:r w:rsidRPr="003F73D4">
        <w:t>The</w:t>
      </w:r>
      <w:r w:rsidR="007639FA" w:rsidRPr="003F73D4">
        <w:t xml:space="preserve"> Australian Government has committed to the</w:t>
      </w:r>
      <w:r w:rsidRPr="003F73D4">
        <w:t xml:space="preserve"> development of</w:t>
      </w:r>
      <w:r w:rsidR="007639FA" w:rsidRPr="003F73D4">
        <w:t xml:space="preserve"> a</w:t>
      </w:r>
      <w:r w:rsidRPr="003F73D4">
        <w:t xml:space="preserve"> </w:t>
      </w:r>
      <w:r w:rsidR="003F73D4">
        <w:t>National Roadmap for </w:t>
      </w:r>
      <w:r w:rsidR="00C4015E" w:rsidRPr="003F73D4">
        <w:t>Improving Health Services for Autistic People</w:t>
      </w:r>
      <w:r w:rsidR="00F52A3D" w:rsidRPr="003F73D4">
        <w:t xml:space="preserve"> (R</w:t>
      </w:r>
      <w:r w:rsidR="003F73D4">
        <w:t>ecommendations 61 and </w:t>
      </w:r>
      <w:r w:rsidR="00500CDF" w:rsidRPr="003F73D4">
        <w:t>6</w:t>
      </w:r>
      <w:r w:rsidR="008B00F9" w:rsidRPr="003F73D4">
        <w:t>2</w:t>
      </w:r>
      <w:r w:rsidR="00155A34" w:rsidRPr="003F73D4">
        <w:t xml:space="preserve"> refer)</w:t>
      </w:r>
      <w:r w:rsidR="003F73D4">
        <w:t xml:space="preserve">. </w:t>
      </w:r>
      <w:r w:rsidR="007639FA" w:rsidRPr="003F73D4">
        <w:t>Some </w:t>
      </w:r>
      <w:r w:rsidR="00C4015E" w:rsidRPr="003F73D4">
        <w:t>aspects of this recommen</w:t>
      </w:r>
      <w:r w:rsidR="007639FA" w:rsidRPr="003F73D4">
        <w:t xml:space="preserve">dation </w:t>
      </w:r>
      <w:r w:rsidR="003B1A8E" w:rsidRPr="003F73D4">
        <w:t xml:space="preserve">will be considered in the development of </w:t>
      </w:r>
      <w:r w:rsidR="003F73D4">
        <w:t>a r</w:t>
      </w:r>
      <w:r w:rsidR="00C4015E" w:rsidRPr="003F73D4">
        <w:t xml:space="preserve">oadmap. </w:t>
      </w:r>
      <w:r w:rsidR="007639FA" w:rsidRPr="003F73D4">
        <w:t xml:space="preserve">Noting this, </w:t>
      </w:r>
      <w:r w:rsidR="00C4015E" w:rsidRPr="003F73D4">
        <w:t>a number of other aspects of this recommendation</w:t>
      </w:r>
      <w:r w:rsidR="003F73D4">
        <w:t xml:space="preserve"> would be the responsibility of </w:t>
      </w:r>
      <w:r w:rsidR="00C4015E" w:rsidRPr="003F73D4">
        <w:t>state</w:t>
      </w:r>
      <w:r w:rsidR="007639FA" w:rsidRPr="003F73D4">
        <w:t xml:space="preserve"> and territory governments.</w:t>
      </w:r>
    </w:p>
    <w:p w14:paraId="4C6242E9" w14:textId="4653F7F2" w:rsidR="00B576D1" w:rsidRPr="003F73D4" w:rsidRDefault="00B576D1" w:rsidP="006517D5">
      <w:pPr>
        <w:spacing w:after="240"/>
      </w:pPr>
      <w:r w:rsidRPr="003F73D4">
        <w:t>A key component of the Department of Health</w:t>
      </w:r>
      <w:r w:rsidR="00BA2239" w:rsidRPr="003F73D4">
        <w:t xml:space="preserve"> and Aged Care</w:t>
      </w:r>
      <w:r w:rsidRPr="003F73D4">
        <w:t>’s National Roadmap for Improving the Health of People with Intellectual Disability is to support health care professionals to provide better care for people with intellec</w:t>
      </w:r>
      <w:r w:rsidR="003F73D4">
        <w:t>tual disability. In addition to </w:t>
      </w:r>
      <w:r w:rsidRPr="003F73D4">
        <w:t>people with a diagnosed or suspected intellectual disability, the National Roadmap also includes people with autism who also have an intellectual di</w:t>
      </w:r>
      <w:r w:rsidR="003F73D4">
        <w:t>sability. There is potential to </w:t>
      </w:r>
      <w:r w:rsidRPr="003F73D4">
        <w:t>build on or adapt this work to inform the development of a National Roadmap for Improving Health Services for Autistic People.</w:t>
      </w:r>
    </w:p>
    <w:p w14:paraId="0FCEDD7A" w14:textId="77777777" w:rsidR="00AD4D5F" w:rsidRDefault="00AD4D5F">
      <w:pPr>
        <w:spacing w:after="160" w:line="259" w:lineRule="auto"/>
      </w:pPr>
      <w:r>
        <w:br w:type="page"/>
      </w:r>
    </w:p>
    <w:p w14:paraId="0142D0F5" w14:textId="3B3908FA" w:rsidR="00617003" w:rsidRPr="00E32B37" w:rsidRDefault="00B576D1" w:rsidP="006517D5">
      <w:pPr>
        <w:spacing w:after="240"/>
        <w:rPr>
          <w:rFonts w:eastAsia="Calibri"/>
          <w:lang w:val="en-NZ"/>
        </w:rPr>
      </w:pPr>
      <w:r w:rsidRPr="003F7D3D">
        <w:lastRenderedPageBreak/>
        <w:t>The Department of Health</w:t>
      </w:r>
      <w:r w:rsidR="00BA2239">
        <w:t xml:space="preserve"> and Aged Care</w:t>
      </w:r>
      <w:r w:rsidRPr="003F7D3D">
        <w:t xml:space="preserve"> is also working with the Department of Social </w:t>
      </w:r>
      <w:r w:rsidRPr="00E32B37">
        <w:t xml:space="preserve">Services on implementing action 1.2 under the Early Childhood Targeted Action Plan </w:t>
      </w:r>
      <w:r w:rsidR="00E32B37" w:rsidRPr="00E32B37">
        <w:t>(EC </w:t>
      </w:r>
      <w:r w:rsidRPr="00E32B37">
        <w:t>TAP), under Australia</w:t>
      </w:r>
      <w:r w:rsidR="001F40AA" w:rsidRPr="00E32B37">
        <w:t>’s Disability Strategy</w:t>
      </w:r>
      <w:r w:rsidRPr="00E32B37">
        <w:t>.</w:t>
      </w:r>
      <w:r w:rsidR="00617003">
        <w:rPr>
          <w:rFonts w:eastAsia="Calibri"/>
          <w:lang w:val="en-NZ"/>
        </w:rPr>
        <w:t xml:space="preserve"> </w:t>
      </w:r>
    </w:p>
    <w:p w14:paraId="1FCF1806" w14:textId="77777777" w:rsidR="00B576D1" w:rsidRPr="003F7D3D" w:rsidRDefault="00B576D1" w:rsidP="006517D5">
      <w:pPr>
        <w:pStyle w:val="ListParagraph"/>
        <w:numPr>
          <w:ilvl w:val="0"/>
          <w:numId w:val="7"/>
        </w:numPr>
        <w:spacing w:after="0" w:line="240" w:lineRule="auto"/>
        <w:ind w:left="714" w:hanging="357"/>
        <w:rPr>
          <w:rFonts w:ascii="Times New Roman" w:hAnsi="Times New Roman" w:cs="Times New Roman"/>
          <w:sz w:val="24"/>
          <w:szCs w:val="24"/>
        </w:rPr>
      </w:pPr>
      <w:r w:rsidRPr="00E32B37">
        <w:rPr>
          <w:rFonts w:ascii="Times New Roman" w:hAnsi="Times New Roman" w:cs="Times New Roman"/>
          <w:sz w:val="24"/>
          <w:szCs w:val="24"/>
        </w:rPr>
        <w:t>Objective 1 in the EC TAP: Enable early identification of</w:t>
      </w:r>
      <w:r w:rsidRPr="003F7D3D">
        <w:rPr>
          <w:rFonts w:ascii="Times New Roman" w:hAnsi="Times New Roman" w:cs="Times New Roman"/>
          <w:sz w:val="24"/>
          <w:szCs w:val="24"/>
        </w:rPr>
        <w:t xml:space="preserve"> disability or developmental concerns and develop clearer pathways and timely access to appropriate supports. </w:t>
      </w:r>
    </w:p>
    <w:p w14:paraId="66D94FC8" w14:textId="407050FB" w:rsidR="00B576D1" w:rsidRPr="003F7D3D" w:rsidRDefault="00B576D1" w:rsidP="00B576D1">
      <w:pPr>
        <w:pStyle w:val="ListParagraph"/>
        <w:numPr>
          <w:ilvl w:val="0"/>
          <w:numId w:val="7"/>
        </w:numPr>
        <w:spacing w:after="0" w:line="240" w:lineRule="auto"/>
        <w:ind w:left="714" w:hanging="357"/>
        <w:rPr>
          <w:rFonts w:ascii="Times New Roman" w:hAnsi="Times New Roman" w:cs="Times New Roman"/>
          <w:sz w:val="24"/>
          <w:szCs w:val="24"/>
        </w:rPr>
      </w:pPr>
      <w:r w:rsidRPr="003F7D3D">
        <w:rPr>
          <w:rFonts w:ascii="Times New Roman" w:hAnsi="Times New Roman" w:cs="Times New Roman"/>
          <w:sz w:val="24"/>
          <w:szCs w:val="24"/>
        </w:rPr>
        <w:t>Action 1.2 in the EC TAP: Provide support to facilitate, through Primary Health Networks and Aboriginal Community Controlled Heal</w:t>
      </w:r>
      <w:r w:rsidR="00F23FC3">
        <w:rPr>
          <w:rFonts w:ascii="Times New Roman" w:hAnsi="Times New Roman" w:cs="Times New Roman"/>
          <w:sz w:val="24"/>
          <w:szCs w:val="24"/>
        </w:rPr>
        <w:t>th Services, improved access to </w:t>
      </w:r>
      <w:r w:rsidRPr="003F7D3D">
        <w:rPr>
          <w:rFonts w:ascii="Times New Roman" w:hAnsi="Times New Roman" w:cs="Times New Roman"/>
          <w:sz w:val="24"/>
          <w:szCs w:val="24"/>
        </w:rPr>
        <w:t>primary health care services to better enable e</w:t>
      </w:r>
      <w:r w:rsidR="00F23FC3">
        <w:rPr>
          <w:rFonts w:ascii="Times New Roman" w:hAnsi="Times New Roman" w:cs="Times New Roman"/>
          <w:sz w:val="24"/>
          <w:szCs w:val="24"/>
        </w:rPr>
        <w:t>arly detection of disability or </w:t>
      </w:r>
      <w:r w:rsidRPr="003F7D3D">
        <w:rPr>
          <w:rFonts w:ascii="Times New Roman" w:hAnsi="Times New Roman" w:cs="Times New Roman"/>
          <w:sz w:val="24"/>
          <w:szCs w:val="24"/>
        </w:rPr>
        <w:t>developmental concerns in young children, and appropriate referral pathways, recognising the needs for priority population groups.</w:t>
      </w:r>
    </w:p>
    <w:p w14:paraId="4D85B7AB" w14:textId="7B903F7F" w:rsidR="009433AA" w:rsidRPr="006517D5" w:rsidRDefault="00B576D1" w:rsidP="006517D5">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3F7D3D">
        <w:rPr>
          <w:rFonts w:ascii="Times New Roman" w:hAnsi="Times New Roman" w:cs="Times New Roman"/>
          <w:sz w:val="24"/>
          <w:szCs w:val="24"/>
        </w:rPr>
        <w:t>EC TAP action 1.2 is due to be completed by 30 June 2024.</w:t>
      </w:r>
    </w:p>
    <w:p w14:paraId="71B57853" w14:textId="1E7E7BCB" w:rsidR="00BE72CD" w:rsidRDefault="00B576D1" w:rsidP="006517D5">
      <w:pPr>
        <w:spacing w:after="240"/>
      </w:pPr>
      <w:r w:rsidRPr="003F7D3D">
        <w:t>On 1 January 2022 permanent telehealth arrangements were introduced to the Medicare Benefits Schedule (MBS) with the introduction of a single, national telehealth program. These ongoing arrangements support the delivery of telehealth services for a range of face-to-face services provided by General Practitioners, medical specialists, mental health practitioners and allied health professionals. Medicare eligible patients with suspected or diagnosed autism spectrum disorder are able to access to a wide range of telehealth MBS services, providing a substitute for current face-to-face services where clinically appropriate.</w:t>
      </w:r>
    </w:p>
    <w:tbl>
      <w:tblPr>
        <w:tblStyle w:val="TableGrid"/>
        <w:tblW w:w="0" w:type="auto"/>
        <w:tblLook w:val="04A0" w:firstRow="1" w:lastRow="0" w:firstColumn="1" w:lastColumn="0" w:noHBand="0" w:noVBand="1"/>
        <w:tblDescription w:val="Decorative"/>
      </w:tblPr>
      <w:tblGrid>
        <w:gridCol w:w="9016"/>
      </w:tblGrid>
      <w:tr w:rsidR="00AD4D5F" w14:paraId="220A5174" w14:textId="77777777" w:rsidTr="00AD4D5F">
        <w:tc>
          <w:tcPr>
            <w:tcW w:w="9016" w:type="dxa"/>
          </w:tcPr>
          <w:p w14:paraId="4E419407" w14:textId="77777777" w:rsidR="00AD4D5F" w:rsidRPr="00AD4D5F" w:rsidRDefault="00AD4D5F" w:rsidP="00AD4D5F">
            <w:pPr>
              <w:widowControl w:val="0"/>
              <w:tabs>
                <w:tab w:val="left" w:pos="840"/>
              </w:tabs>
              <w:autoSpaceDE w:val="0"/>
              <w:autoSpaceDN w:val="0"/>
              <w:spacing w:before="64" w:line="276" w:lineRule="auto"/>
              <w:ind w:left="454" w:right="719" w:hanging="454"/>
              <w:jc w:val="both"/>
              <w:rPr>
                <w:b/>
              </w:rPr>
            </w:pPr>
            <w:r w:rsidRPr="00AD4D5F">
              <w:rPr>
                <w:b/>
              </w:rPr>
              <w:t>Recommendation 39</w:t>
            </w:r>
          </w:p>
          <w:p w14:paraId="534F3DFF" w14:textId="44D8B4F2" w:rsidR="00AD4D5F" w:rsidRDefault="00AD4D5F" w:rsidP="00AD4D5F">
            <w:r w:rsidRPr="00BA1DDF">
              <w:t>The committee recommends that state and territory governments review their child health and development screening programs to identify opportunities to improve early identification of autism.</w:t>
            </w:r>
          </w:p>
        </w:tc>
      </w:tr>
    </w:tbl>
    <w:p w14:paraId="4F767886" w14:textId="77777777" w:rsidR="00AD4D5F" w:rsidRDefault="00AD4D5F" w:rsidP="0005294A"/>
    <w:p w14:paraId="3D15008F" w14:textId="6ACC2811" w:rsidR="00BE72CD" w:rsidRDefault="00BA1DDF" w:rsidP="0005294A">
      <w:r>
        <w:rPr>
          <w:b/>
        </w:rPr>
        <w:t xml:space="preserve">Noted </w:t>
      </w:r>
    </w:p>
    <w:p w14:paraId="1D12710C" w14:textId="78EEF490" w:rsidR="00B965A5" w:rsidRPr="008C3B80" w:rsidRDefault="00BA1DDF" w:rsidP="008C3B80">
      <w:pPr>
        <w:spacing w:after="240"/>
        <w:rPr>
          <w:color w:val="000000"/>
          <w:shd w:val="clear" w:color="auto" w:fill="FFFFFF"/>
        </w:rPr>
      </w:pPr>
      <w:r>
        <w:rPr>
          <w:color w:val="000000"/>
          <w:shd w:val="clear" w:color="auto" w:fill="FFFFFF"/>
        </w:rPr>
        <w:t xml:space="preserve">This is a recommendation </w:t>
      </w:r>
      <w:r w:rsidR="00E75BC7">
        <w:rPr>
          <w:color w:val="000000"/>
          <w:shd w:val="clear" w:color="auto" w:fill="FFFFFF"/>
        </w:rPr>
        <w:t>for state and t</w:t>
      </w:r>
      <w:r w:rsidR="00C9208B">
        <w:rPr>
          <w:color w:val="000000"/>
          <w:shd w:val="clear" w:color="auto" w:fill="FFFFFF"/>
        </w:rPr>
        <w:t>erritory government consideration.</w:t>
      </w:r>
    </w:p>
    <w:tbl>
      <w:tblPr>
        <w:tblStyle w:val="TableGrid"/>
        <w:tblW w:w="0" w:type="auto"/>
        <w:tblLook w:val="04A0" w:firstRow="1" w:lastRow="0" w:firstColumn="1" w:lastColumn="0" w:noHBand="0" w:noVBand="1"/>
        <w:tblDescription w:val="Decorative"/>
      </w:tblPr>
      <w:tblGrid>
        <w:gridCol w:w="9016"/>
      </w:tblGrid>
      <w:tr w:rsidR="00AD4D5F" w14:paraId="13FB12CD" w14:textId="77777777" w:rsidTr="00AD4D5F">
        <w:tc>
          <w:tcPr>
            <w:tcW w:w="9016" w:type="dxa"/>
          </w:tcPr>
          <w:p w14:paraId="70B2C7FE" w14:textId="77777777" w:rsidR="00AD4D5F" w:rsidRPr="00AD4D5F" w:rsidRDefault="00AD4D5F" w:rsidP="00AD4D5F">
            <w:pPr>
              <w:spacing w:line="276" w:lineRule="auto"/>
              <w:ind w:left="454" w:hanging="454"/>
              <w:jc w:val="both"/>
              <w:rPr>
                <w:b/>
              </w:rPr>
            </w:pPr>
            <w:r w:rsidRPr="00AD4D5F">
              <w:rPr>
                <w:b/>
              </w:rPr>
              <w:t>Recommendation 40</w:t>
            </w:r>
          </w:p>
          <w:p w14:paraId="1AFA6B82" w14:textId="15AF429A" w:rsidR="00AD4D5F" w:rsidRDefault="00AD4D5F" w:rsidP="00AD4D5F">
            <w:pPr>
              <w:rPr>
                <w:b/>
              </w:rPr>
            </w:pPr>
            <w:r w:rsidRPr="0005294A">
              <w:t xml:space="preserve">The committee recommends that the Australian Government task the Medicare Benefits Schedule (MBS) Review Advisory Committee with an immediate review of MBS items related to diagnosis of autism. The aim of the review should be to align current MBS items with the diagnostic process established in the </w:t>
            </w:r>
            <w:r w:rsidRPr="00041289">
              <w:rPr>
                <w:i/>
              </w:rPr>
              <w:t>National Guideline</w:t>
            </w:r>
            <w:r w:rsidRPr="0005294A">
              <w:rPr>
                <w:i/>
              </w:rPr>
              <w:t xml:space="preserve"> for the Assessment and Diagnosis of Autism Spectrum Disorder in Australia</w:t>
            </w:r>
            <w:r w:rsidRPr="0005294A">
              <w:t>, as well as recommend new items required for the same purpose.</w:t>
            </w:r>
          </w:p>
        </w:tc>
      </w:tr>
    </w:tbl>
    <w:p w14:paraId="4457C72C" w14:textId="77777777" w:rsidR="00AD4D5F" w:rsidRPr="00617003" w:rsidRDefault="00AD4D5F" w:rsidP="008337E4"/>
    <w:p w14:paraId="4F8A4154" w14:textId="51720FB0" w:rsidR="003F395C" w:rsidRDefault="00E136F6" w:rsidP="006D4F1D">
      <w:r w:rsidRPr="00FE108A">
        <w:rPr>
          <w:b/>
        </w:rPr>
        <w:t>Support</w:t>
      </w:r>
      <w:r w:rsidR="003B240A" w:rsidRPr="00FE108A">
        <w:rPr>
          <w:b/>
        </w:rPr>
        <w:t>ed in principle</w:t>
      </w:r>
    </w:p>
    <w:p w14:paraId="3233B376" w14:textId="64B74459" w:rsidR="00B576D1" w:rsidRPr="003F7D3D" w:rsidRDefault="00B576D1" w:rsidP="008C3B80">
      <w:pPr>
        <w:spacing w:after="240"/>
      </w:pPr>
      <w:r w:rsidRPr="003F7D3D">
        <w:t>The MBS Review Advisory Committee (MRAC) supports Australian Government priorities by undertaking reviews, including as directed by the Minister for Health and Aged Care.</w:t>
      </w:r>
    </w:p>
    <w:p w14:paraId="0478896B" w14:textId="5E58E683" w:rsidR="00B576D1" w:rsidRPr="003B240A" w:rsidRDefault="00B576D1" w:rsidP="008C3B80">
      <w:pPr>
        <w:spacing w:after="240"/>
      </w:pPr>
      <w:r w:rsidRPr="003F7D3D">
        <w:t>The scope and aim of reviews is in accordance with M</w:t>
      </w:r>
      <w:r w:rsidR="003B18DE">
        <w:t>RAC Terms of Reference. MRAC is </w:t>
      </w:r>
      <w:r w:rsidRPr="003F7D3D">
        <w:t>an independent body, whose outcomes, including recommendations for new items</w:t>
      </w:r>
      <w:r w:rsidR="003B18DE">
        <w:t>,</w:t>
      </w:r>
      <w:r w:rsidRPr="003F7D3D">
        <w:t xml:space="preserve"> are dependent upon assessment against the committee framework, which includes findings from consideration of existing models of care against an assessment framework.</w:t>
      </w:r>
    </w:p>
    <w:p w14:paraId="7F64421E" w14:textId="6CE2CD02" w:rsidR="003F395C" w:rsidRDefault="00AD4D5F" w:rsidP="006C25B1">
      <w:pPr>
        <w:spacing w:after="160" w:line="259" w:lineRule="auto"/>
        <w:rPr>
          <w:b/>
        </w:rPr>
      </w:pPr>
      <w:r>
        <w:rPr>
          <w:b/>
        </w:rPr>
        <w:br w:type="page"/>
      </w:r>
    </w:p>
    <w:tbl>
      <w:tblPr>
        <w:tblStyle w:val="TableGrid"/>
        <w:tblW w:w="0" w:type="auto"/>
        <w:tblLook w:val="04A0" w:firstRow="1" w:lastRow="0" w:firstColumn="1" w:lastColumn="0" w:noHBand="0" w:noVBand="1"/>
        <w:tblDescription w:val="Decorative"/>
      </w:tblPr>
      <w:tblGrid>
        <w:gridCol w:w="9016"/>
      </w:tblGrid>
      <w:tr w:rsidR="006C25B1" w14:paraId="741887C6" w14:textId="77777777" w:rsidTr="006C25B1">
        <w:tc>
          <w:tcPr>
            <w:tcW w:w="9016" w:type="dxa"/>
          </w:tcPr>
          <w:p w14:paraId="74085122" w14:textId="77777777" w:rsidR="006C25B1" w:rsidRPr="006C25B1" w:rsidRDefault="006C25B1" w:rsidP="006C25B1">
            <w:pPr>
              <w:spacing w:line="276" w:lineRule="auto"/>
              <w:ind w:left="454" w:hanging="454"/>
              <w:jc w:val="both"/>
              <w:rPr>
                <w:b/>
                <w:u w:val="single"/>
              </w:rPr>
            </w:pPr>
            <w:r w:rsidRPr="006C25B1">
              <w:rPr>
                <w:b/>
              </w:rPr>
              <w:lastRenderedPageBreak/>
              <w:t>Recommendation 41</w:t>
            </w:r>
          </w:p>
          <w:p w14:paraId="40FAE463" w14:textId="7E1D6D93" w:rsidR="006C25B1" w:rsidRDefault="006C25B1" w:rsidP="006C25B1">
            <w:pPr>
              <w:rPr>
                <w:b/>
              </w:rPr>
            </w:pPr>
            <w:r w:rsidRPr="0005294A">
              <w:t>The committee recommends that the Department of Health prioritise implementation of the remaining recommendations of the Medicare Benefits Schedule Review Taskforce (the Taskforce) in relation to the diagnosis of autism, complex allied health assessments and multidisciplinary planning (as set out in the Taskforce's June 2020 Report on Primary Care).</w:t>
            </w:r>
          </w:p>
        </w:tc>
      </w:tr>
    </w:tbl>
    <w:p w14:paraId="77B44054" w14:textId="77777777" w:rsidR="006C25B1" w:rsidRPr="00617003" w:rsidRDefault="006C25B1" w:rsidP="008337E4"/>
    <w:p w14:paraId="6D89885B" w14:textId="5C496F3F" w:rsidR="00142E94" w:rsidRDefault="003B240A" w:rsidP="006D4F1D">
      <w:pPr>
        <w:rPr>
          <w:b/>
        </w:rPr>
      </w:pPr>
      <w:r>
        <w:rPr>
          <w:b/>
        </w:rPr>
        <w:t xml:space="preserve">Supported </w:t>
      </w:r>
    </w:p>
    <w:p w14:paraId="335384E3" w14:textId="20E8E64D" w:rsidR="006C25B1" w:rsidRDefault="00B576D1" w:rsidP="00C07232">
      <w:pPr>
        <w:spacing w:after="240"/>
      </w:pPr>
      <w:r w:rsidRPr="003F7D3D">
        <w:t>In December 2021 the Australian Government announced changes to the MBS in response to recommendations from the MBS Review Taskforce. These changes relate to diagnosis and treatment of Autism Spectrum Disorder, Complex Neurodevelopmental Disorders and eligible disabilities. The changes will take effect on 1 March 2023.</w:t>
      </w:r>
    </w:p>
    <w:tbl>
      <w:tblPr>
        <w:tblStyle w:val="TableGrid"/>
        <w:tblW w:w="0" w:type="auto"/>
        <w:tblLook w:val="04A0" w:firstRow="1" w:lastRow="0" w:firstColumn="1" w:lastColumn="0" w:noHBand="0" w:noVBand="1"/>
        <w:tblDescription w:val="Decorative"/>
      </w:tblPr>
      <w:tblGrid>
        <w:gridCol w:w="9016"/>
      </w:tblGrid>
      <w:tr w:rsidR="006C25B1" w14:paraId="6640A1EF" w14:textId="77777777" w:rsidTr="006C25B1">
        <w:tc>
          <w:tcPr>
            <w:tcW w:w="9016" w:type="dxa"/>
          </w:tcPr>
          <w:p w14:paraId="59419458" w14:textId="77777777" w:rsidR="006C25B1" w:rsidRPr="006C25B1" w:rsidRDefault="006C25B1" w:rsidP="006C25B1">
            <w:pPr>
              <w:spacing w:line="276" w:lineRule="auto"/>
              <w:jc w:val="both"/>
              <w:rPr>
                <w:b/>
              </w:rPr>
            </w:pPr>
            <w:r w:rsidRPr="006C25B1">
              <w:rPr>
                <w:b/>
              </w:rPr>
              <w:t>Recommendation</w:t>
            </w:r>
            <w:r w:rsidRPr="006C25B1">
              <w:rPr>
                <w:b/>
                <w:spacing w:val="-7"/>
              </w:rPr>
              <w:t xml:space="preserve"> </w:t>
            </w:r>
            <w:r w:rsidRPr="006C25B1">
              <w:rPr>
                <w:b/>
              </w:rPr>
              <w:t>42</w:t>
            </w:r>
          </w:p>
          <w:p w14:paraId="6EAC6236" w14:textId="43E4E32A" w:rsidR="006C25B1" w:rsidRDefault="006C25B1" w:rsidP="006C25B1">
            <w:r w:rsidRPr="0005294A">
              <w:t>The</w:t>
            </w:r>
            <w:r w:rsidRPr="0005294A">
              <w:rPr>
                <w:spacing w:val="-14"/>
              </w:rPr>
              <w:t xml:space="preserve"> </w:t>
            </w:r>
            <w:r w:rsidRPr="0005294A">
              <w:t>committee</w:t>
            </w:r>
            <w:r w:rsidRPr="0005294A">
              <w:rPr>
                <w:spacing w:val="-14"/>
              </w:rPr>
              <w:t xml:space="preserve"> </w:t>
            </w:r>
            <w:r w:rsidRPr="0005294A">
              <w:t>recommends</w:t>
            </w:r>
            <w:r w:rsidRPr="0005294A">
              <w:rPr>
                <w:spacing w:val="-15"/>
              </w:rPr>
              <w:t xml:space="preserve"> </w:t>
            </w:r>
            <w:r w:rsidRPr="0005294A">
              <w:t>the</w:t>
            </w:r>
            <w:r w:rsidRPr="0005294A">
              <w:rPr>
                <w:spacing w:val="-13"/>
              </w:rPr>
              <w:t xml:space="preserve"> </w:t>
            </w:r>
            <w:r w:rsidRPr="0005294A">
              <w:t>removal of the current age limit on Medicare Benefits Schedule items related to the diagnosis of</w:t>
            </w:r>
            <w:r w:rsidRPr="0005294A">
              <w:rPr>
                <w:spacing w:val="-8"/>
              </w:rPr>
              <w:t xml:space="preserve"> </w:t>
            </w:r>
            <w:r w:rsidRPr="0005294A">
              <w:t>autism.</w:t>
            </w:r>
          </w:p>
        </w:tc>
      </w:tr>
    </w:tbl>
    <w:p w14:paraId="1CFBF8FC" w14:textId="2FC5AE0A" w:rsidR="00B965A5" w:rsidRPr="00617003" w:rsidRDefault="00B965A5" w:rsidP="006D4F1D"/>
    <w:p w14:paraId="56B41F4D" w14:textId="6870DC94" w:rsidR="008337E4" w:rsidRDefault="008337E4" w:rsidP="008337E4">
      <w:pPr>
        <w:rPr>
          <w:b/>
        </w:rPr>
      </w:pPr>
      <w:r w:rsidRPr="00C34C80">
        <w:rPr>
          <w:b/>
        </w:rPr>
        <w:t xml:space="preserve">Not </w:t>
      </w:r>
      <w:r>
        <w:rPr>
          <w:b/>
        </w:rPr>
        <w:t>s</w:t>
      </w:r>
      <w:r w:rsidR="006D4F1D">
        <w:rPr>
          <w:b/>
        </w:rPr>
        <w:t>upported</w:t>
      </w:r>
    </w:p>
    <w:p w14:paraId="2D68F893" w14:textId="5009063C" w:rsidR="00B576D1" w:rsidRPr="00C07232" w:rsidRDefault="00B576D1" w:rsidP="00C07232">
      <w:pPr>
        <w:spacing w:after="240"/>
        <w:rPr>
          <w:sz w:val="22"/>
          <w:szCs w:val="22"/>
        </w:rPr>
      </w:pPr>
      <w:r w:rsidRPr="003F7D3D">
        <w:t xml:space="preserve">This recommendation is not supported. The Department of Health </w:t>
      </w:r>
      <w:r w:rsidR="00BA2239">
        <w:t xml:space="preserve">and Aged Care </w:t>
      </w:r>
      <w:r w:rsidRPr="003F7D3D">
        <w:t>is currently implementing MBS changes in response to recommendations from the MBS Taskforce. These include increasing the eligibility age limits across MBS services for assessment, diagnosis and treatment of Autism Spectrum Disorder, Complex Neurodevelopmental Disorders, and eligible disabilities from under 13 to under 25 years of age. The changes will take effect on 1 March 2023.</w:t>
      </w:r>
    </w:p>
    <w:p w14:paraId="53F24809" w14:textId="5A2E87F7" w:rsidR="006D4F1D" w:rsidRPr="00617003" w:rsidRDefault="00B576D1" w:rsidP="00C07232">
      <w:pPr>
        <w:spacing w:after="240"/>
      </w:pPr>
      <w:r w:rsidRPr="003F7D3D">
        <w:t>Any further changes to the age limits should be considered as part of the associated Post Implementation Review, which is expected to occur within 24 months of d</w:t>
      </w:r>
      <w:r w:rsidR="00C07232">
        <w:t>ate of effect, by 1 March 2025.</w:t>
      </w:r>
    </w:p>
    <w:p w14:paraId="60C0B7A8" w14:textId="78C429E6" w:rsidR="00C07232" w:rsidRPr="00C07232" w:rsidRDefault="00A376FF" w:rsidP="00A12901">
      <w:pPr>
        <w:pStyle w:val="Heading2"/>
      </w:pPr>
      <w:r w:rsidRPr="008B2E12">
        <w:t>Early intervention approaches</w:t>
      </w:r>
    </w:p>
    <w:tbl>
      <w:tblPr>
        <w:tblStyle w:val="TableGrid"/>
        <w:tblW w:w="0" w:type="auto"/>
        <w:tblLook w:val="04A0" w:firstRow="1" w:lastRow="0" w:firstColumn="1" w:lastColumn="0" w:noHBand="0" w:noVBand="1"/>
        <w:tblDescription w:val="Decorative"/>
      </w:tblPr>
      <w:tblGrid>
        <w:gridCol w:w="9016"/>
      </w:tblGrid>
      <w:tr w:rsidR="008B2E12" w14:paraId="37B1938E" w14:textId="77777777" w:rsidTr="008B2E12">
        <w:tc>
          <w:tcPr>
            <w:tcW w:w="9016" w:type="dxa"/>
          </w:tcPr>
          <w:p w14:paraId="20DC0987" w14:textId="77777777" w:rsidR="008B2E12" w:rsidRPr="008B2E12" w:rsidRDefault="008B2E12" w:rsidP="008B2E12">
            <w:pPr>
              <w:spacing w:line="276" w:lineRule="auto"/>
              <w:jc w:val="both"/>
              <w:rPr>
                <w:b/>
              </w:rPr>
            </w:pPr>
            <w:r w:rsidRPr="008B2E12">
              <w:rPr>
                <w:b/>
              </w:rPr>
              <w:t>Recommendation 43</w:t>
            </w:r>
          </w:p>
          <w:p w14:paraId="026A00E9" w14:textId="34663AF0" w:rsidR="008B2E12" w:rsidRDefault="008B2E12" w:rsidP="008B2E12">
            <w:pPr>
              <w:rPr>
                <w:b/>
              </w:rPr>
            </w:pPr>
            <w:r w:rsidRPr="0005294A">
              <w:t>The</w:t>
            </w:r>
            <w:r w:rsidRPr="0005294A">
              <w:rPr>
                <w:spacing w:val="-15"/>
              </w:rPr>
              <w:t xml:space="preserve"> </w:t>
            </w:r>
            <w:r w:rsidRPr="0005294A">
              <w:t>committee</w:t>
            </w:r>
            <w:r w:rsidRPr="0005294A">
              <w:rPr>
                <w:spacing w:val="-14"/>
              </w:rPr>
              <w:t xml:space="preserve"> </w:t>
            </w:r>
            <w:r w:rsidRPr="0005294A">
              <w:t>recommends</w:t>
            </w:r>
            <w:r w:rsidRPr="0005294A">
              <w:rPr>
                <w:spacing w:val="-15"/>
              </w:rPr>
              <w:t xml:space="preserve"> </w:t>
            </w:r>
            <w:r w:rsidRPr="0005294A">
              <w:t>that</w:t>
            </w:r>
            <w:r w:rsidRPr="0005294A">
              <w:rPr>
                <w:spacing w:val="-16"/>
              </w:rPr>
              <w:t xml:space="preserve"> </w:t>
            </w:r>
            <w:r w:rsidRPr="0005294A">
              <w:t>the</w:t>
            </w:r>
            <w:r w:rsidRPr="0005294A">
              <w:rPr>
                <w:spacing w:val="-12"/>
              </w:rPr>
              <w:t xml:space="preserve"> </w:t>
            </w:r>
            <w:r w:rsidRPr="0005294A">
              <w:t>Australian Government</w:t>
            </w:r>
            <w:r w:rsidRPr="0005294A">
              <w:rPr>
                <w:spacing w:val="-14"/>
              </w:rPr>
              <w:t xml:space="preserve"> </w:t>
            </w:r>
            <w:r w:rsidRPr="0005294A">
              <w:t>commit funding to quality research to continue addressing gaps in the evidence for early intervention approaches.</w:t>
            </w:r>
          </w:p>
        </w:tc>
      </w:tr>
    </w:tbl>
    <w:p w14:paraId="402028E2" w14:textId="77777777" w:rsidR="008B2E12" w:rsidRPr="00617003" w:rsidRDefault="008B2E12" w:rsidP="00DE7423"/>
    <w:p w14:paraId="17668B48" w14:textId="7B16BAB7" w:rsidR="00DE7423" w:rsidRPr="008425F9" w:rsidRDefault="00DE7423" w:rsidP="00DE7423">
      <w:r>
        <w:rPr>
          <w:b/>
        </w:rPr>
        <w:t>Support</w:t>
      </w:r>
      <w:r w:rsidR="00687ABF">
        <w:rPr>
          <w:b/>
        </w:rPr>
        <w:t>ed</w:t>
      </w:r>
    </w:p>
    <w:p w14:paraId="372FD21A" w14:textId="14DB6358" w:rsidR="00DE7423" w:rsidRPr="00A0572F" w:rsidRDefault="00DE7423" w:rsidP="00C07232">
      <w:pPr>
        <w:spacing w:after="240"/>
      </w:pPr>
      <w:r w:rsidRPr="00A0572F">
        <w:t xml:space="preserve">The </w:t>
      </w:r>
      <w:r w:rsidR="00B62FDB">
        <w:t xml:space="preserve">Australian </w:t>
      </w:r>
      <w:r w:rsidRPr="00A0572F">
        <w:t>Government supports r</w:t>
      </w:r>
      <w:r w:rsidR="00ED4F70">
        <w:t>esearch and best practice early</w:t>
      </w:r>
      <w:r w:rsidR="006D455F">
        <w:t xml:space="preserve"> </w:t>
      </w:r>
      <w:r w:rsidRPr="00A0572F">
        <w:t>interv</w:t>
      </w:r>
      <w:r w:rsidR="006D455F">
        <w:t xml:space="preserve">ention. </w:t>
      </w:r>
      <w:r w:rsidR="007C3FB8">
        <w:t>E</w:t>
      </w:r>
      <w:r w:rsidR="00ED4F70">
        <w:t>arly </w:t>
      </w:r>
      <w:r w:rsidRPr="00A0572F">
        <w:t>intervention can be for both children and adults, and can help reduce the functional impairments of disability.</w:t>
      </w:r>
    </w:p>
    <w:p w14:paraId="409C138D" w14:textId="1AF4AEE4" w:rsidR="00DE7423" w:rsidRDefault="00DE7423" w:rsidP="00C07232">
      <w:pPr>
        <w:spacing w:after="240"/>
        <w:rPr>
          <w:iCs/>
        </w:rPr>
      </w:pPr>
      <w:r w:rsidRPr="00A0572F">
        <w:rPr>
          <w:iCs/>
        </w:rPr>
        <w:t>Early childhood intervention in relation to children, is about giving them th</w:t>
      </w:r>
      <w:r w:rsidR="008425F9">
        <w:rPr>
          <w:iCs/>
        </w:rPr>
        <w:t>e best possible start to life. </w:t>
      </w:r>
      <w:r w:rsidRPr="00A0572F">
        <w:rPr>
          <w:iCs/>
        </w:rPr>
        <w:t>The Early Childhood Targeted Action Plan was released in December 2021 under Australia’s Disability Strategy</w:t>
      </w:r>
      <w:r w:rsidR="00ED4F70">
        <w:rPr>
          <w:iCs/>
        </w:rPr>
        <w:t>. </w:t>
      </w:r>
      <w:r w:rsidRPr="00A0572F">
        <w:rPr>
          <w:iCs/>
        </w:rPr>
        <w:t>It contains a number of Comm</w:t>
      </w:r>
      <w:r w:rsidR="006D455F">
        <w:rPr>
          <w:iCs/>
        </w:rPr>
        <w:t>onwealth led actions, including </w:t>
      </w:r>
      <w:r w:rsidRPr="00A0572F">
        <w:rPr>
          <w:iCs/>
        </w:rPr>
        <w:t>the commissioning of work to review and update guidance for best practice in early childhood intervention as well as conducting a service system gap analysis. These actions are expected to commence by</w:t>
      </w:r>
      <w:r w:rsidR="00F805CB">
        <w:rPr>
          <w:iCs/>
        </w:rPr>
        <w:t xml:space="preserve"> </w:t>
      </w:r>
      <w:r w:rsidR="0063265A">
        <w:rPr>
          <w:iCs/>
        </w:rPr>
        <w:t>late</w:t>
      </w:r>
      <w:r w:rsidRPr="00A0572F">
        <w:rPr>
          <w:iCs/>
        </w:rPr>
        <w:t xml:space="preserve">-2022 and be completed by December 2023. </w:t>
      </w:r>
    </w:p>
    <w:p w14:paraId="7357C029" w14:textId="07D0312E" w:rsidR="002B67EA" w:rsidRPr="008B2E12" w:rsidRDefault="008B2E12" w:rsidP="008B2E12">
      <w:pPr>
        <w:spacing w:after="160" w:line="259" w:lineRule="auto"/>
        <w:rPr>
          <w:b/>
        </w:rPr>
      </w:pPr>
      <w:r>
        <w:rPr>
          <w:b/>
        </w:rPr>
        <w:br w:type="page"/>
      </w:r>
    </w:p>
    <w:p w14:paraId="1EE68A6B" w14:textId="48AE7C73" w:rsidR="002B67EA" w:rsidRPr="00C07232" w:rsidRDefault="002B67EA" w:rsidP="00C07232">
      <w:pPr>
        <w:spacing w:after="240"/>
        <w:rPr>
          <w:sz w:val="22"/>
          <w:szCs w:val="22"/>
        </w:rPr>
      </w:pPr>
      <w:r w:rsidRPr="002B67EA">
        <w:lastRenderedPageBreak/>
        <w:t>The</w:t>
      </w:r>
      <w:r w:rsidR="00B62FDB">
        <w:t xml:space="preserve"> Australian</w:t>
      </w:r>
      <w:r w:rsidRPr="002B67EA">
        <w:t xml:space="preserve"> Government is funding quality research to grow the evidence base for early intervention approaches. In 2020, the NDIA engaged the Autism </w:t>
      </w:r>
      <w:r w:rsidR="006D455F">
        <w:t>Cooperative Research Centre</w:t>
      </w:r>
      <w:r w:rsidRPr="002B67EA">
        <w:t xml:space="preserve"> to undertake an independent review of the best available evidence for supporting children on the autism spectrum. The review investigated non-pharmacologic interventions and was inconclusive on the type and frequency of interventions required to achieve optimal outcomes.</w:t>
      </w:r>
    </w:p>
    <w:p w14:paraId="1E4152D5" w14:textId="7E8A1D93" w:rsidR="008B2E12" w:rsidRPr="00C07232" w:rsidRDefault="002B67EA" w:rsidP="00C07232">
      <w:pPr>
        <w:spacing w:after="240"/>
        <w:rPr>
          <w:rFonts w:asciiTheme="minorHAnsi" w:hAnsiTheme="minorHAnsi" w:cstheme="minorHAnsi"/>
          <w:color w:val="6B2976"/>
        </w:rPr>
      </w:pPr>
      <w:r w:rsidRPr="002B67EA">
        <w:t>The NDIA is also leading a comprehensive systema</w:t>
      </w:r>
      <w:r w:rsidR="006D455F">
        <w:t>tic review and meta-analysis of </w:t>
      </w:r>
      <w:r w:rsidRPr="002B67EA">
        <w:t>behavioural interventions informed by or based on App</w:t>
      </w:r>
      <w:r w:rsidR="005709C6">
        <w:t>l</w:t>
      </w:r>
      <w:r w:rsidR="006D455F">
        <w:t>ied Behavioural Analysis in </w:t>
      </w:r>
      <w:r w:rsidR="005709C6">
        <w:t>autistic children seven years or younger</w:t>
      </w:r>
      <w:r w:rsidR="007946A0">
        <w:t>. The review</w:t>
      </w:r>
      <w:r w:rsidRPr="002B67EA">
        <w:t xml:space="preserve"> is</w:t>
      </w:r>
      <w:r w:rsidR="006D455F">
        <w:t xml:space="preserve"> examining what benefits can be </w:t>
      </w:r>
      <w:r w:rsidRPr="002B67EA">
        <w:t>expected from the main types of behavioural interventions, in rel</w:t>
      </w:r>
      <w:r w:rsidR="007946A0">
        <w:t>ation to key NDIS outcomes, and </w:t>
      </w:r>
      <w:r w:rsidRPr="002B67EA">
        <w:t>what individual characteristics or intervention design/delivery factors may contribute to better gains. The review will also examine whether there is a</w:t>
      </w:r>
      <w:r w:rsidR="007946A0">
        <w:t xml:space="preserve"> relationship between outcomes, positive or negative,</w:t>
      </w:r>
      <w:r w:rsidRPr="002B67EA">
        <w:t xml:space="preserve"> and different intervention intensities</w:t>
      </w:r>
      <w:r>
        <w:rPr>
          <w:rFonts w:asciiTheme="minorHAnsi" w:hAnsiTheme="minorHAnsi" w:cstheme="minorHAnsi"/>
          <w:color w:val="6B2976"/>
        </w:rPr>
        <w:t>.</w:t>
      </w:r>
    </w:p>
    <w:tbl>
      <w:tblPr>
        <w:tblStyle w:val="TableGrid"/>
        <w:tblW w:w="0" w:type="auto"/>
        <w:tblLook w:val="04A0" w:firstRow="1" w:lastRow="0" w:firstColumn="1" w:lastColumn="0" w:noHBand="0" w:noVBand="1"/>
        <w:tblDescription w:val="Decorative"/>
      </w:tblPr>
      <w:tblGrid>
        <w:gridCol w:w="9016"/>
      </w:tblGrid>
      <w:tr w:rsidR="008B2E12" w14:paraId="1D2BDE73" w14:textId="77777777" w:rsidTr="008B2E12">
        <w:tc>
          <w:tcPr>
            <w:tcW w:w="9016" w:type="dxa"/>
          </w:tcPr>
          <w:p w14:paraId="257FE8A6" w14:textId="77777777" w:rsidR="008B2E12" w:rsidRPr="008B2E12" w:rsidRDefault="008B2E12" w:rsidP="008B2E12">
            <w:pPr>
              <w:spacing w:before="1"/>
              <w:jc w:val="both"/>
              <w:rPr>
                <w:b/>
              </w:rPr>
            </w:pPr>
            <w:r w:rsidRPr="008B2E12">
              <w:rPr>
                <w:b/>
              </w:rPr>
              <w:t>Recommendation 44</w:t>
            </w:r>
          </w:p>
          <w:p w14:paraId="370CE96B" w14:textId="77777777" w:rsidR="008B2E12" w:rsidRPr="007946A0" w:rsidRDefault="008B2E12" w:rsidP="008B2E12">
            <w:pPr>
              <w:widowControl w:val="0"/>
              <w:tabs>
                <w:tab w:val="left" w:pos="596"/>
              </w:tabs>
              <w:autoSpaceDE w:val="0"/>
              <w:autoSpaceDN w:val="0"/>
              <w:spacing w:before="60"/>
              <w:ind w:right="715"/>
            </w:pPr>
            <w:r w:rsidRPr="007946A0">
              <w:t>The committee recommends that the Australian Government investigate options to improve post-diagnosis support, including a one-stop shop for directing individuals to the most appropriate support services.</w:t>
            </w:r>
          </w:p>
          <w:p w14:paraId="61ABF6E7" w14:textId="056381CB" w:rsidR="008B2E12" w:rsidRDefault="008B2E12" w:rsidP="008B2E12">
            <w:pPr>
              <w:rPr>
                <w:rFonts w:asciiTheme="minorHAnsi" w:hAnsiTheme="minorHAnsi" w:cstheme="minorHAnsi"/>
                <w:color w:val="6B2976"/>
              </w:rPr>
            </w:pPr>
            <w:r w:rsidRPr="007946A0">
              <w:t>The one-stop shop should be accessible via a range of platforms, including more traditional mediums such as print and phone support</w:t>
            </w:r>
            <w:r w:rsidRPr="007946A0">
              <w:rPr>
                <w:spacing w:val="-10"/>
              </w:rPr>
              <w:t xml:space="preserve"> </w:t>
            </w:r>
            <w:r w:rsidRPr="007946A0">
              <w:t>services.</w:t>
            </w:r>
          </w:p>
        </w:tc>
      </w:tr>
    </w:tbl>
    <w:p w14:paraId="278686DE" w14:textId="77D65249" w:rsidR="00676C29" w:rsidRPr="00617003" w:rsidRDefault="00676C29" w:rsidP="004A13CA"/>
    <w:p w14:paraId="405D436F" w14:textId="2119DECE" w:rsidR="007C3FB8" w:rsidRDefault="0099171B" w:rsidP="004A13CA">
      <w:pPr>
        <w:rPr>
          <w:b/>
        </w:rPr>
      </w:pPr>
      <w:r>
        <w:rPr>
          <w:b/>
        </w:rPr>
        <w:t>Support</w:t>
      </w:r>
      <w:r w:rsidR="007946A0">
        <w:rPr>
          <w:b/>
        </w:rPr>
        <w:t xml:space="preserve">ed </w:t>
      </w:r>
      <w:r w:rsidR="007C3FB8">
        <w:rPr>
          <w:b/>
        </w:rPr>
        <w:t>in principle</w:t>
      </w:r>
    </w:p>
    <w:p w14:paraId="5979C381" w14:textId="366B8CC8" w:rsidR="00153431" w:rsidRDefault="007C3FB8" w:rsidP="00C07232">
      <w:pPr>
        <w:spacing w:after="240"/>
      </w:pPr>
      <w:r>
        <w:t>The</w:t>
      </w:r>
      <w:r w:rsidR="00B62FDB">
        <w:t xml:space="preserve"> Australian</w:t>
      </w:r>
      <w:r>
        <w:t xml:space="preserve"> Government recognises the importance of early intervention, including for young children. </w:t>
      </w:r>
      <w:r w:rsidR="00742B1C">
        <w:t>Recognising this, the</w:t>
      </w:r>
      <w:r>
        <w:t xml:space="preserve"> Early Childhood Targeted Action Plan under Australia’</w:t>
      </w:r>
      <w:r w:rsidR="0099171B">
        <w:t>s Disabil</w:t>
      </w:r>
      <w:r w:rsidR="007946A0">
        <w:t>ity Strategy, s</w:t>
      </w:r>
      <w:r w:rsidR="0099171B">
        <w:t xml:space="preserve">ets out key actions to strengthen early identification, information, support and pathways, as well as collaboration between programs and services.  Actions are being implemented with an intersectional and diversity </w:t>
      </w:r>
      <w:r w:rsidR="007946A0">
        <w:t>lens. Actions include Australian Government, and state and territory led-</w:t>
      </w:r>
      <w:r w:rsidR="0099171B">
        <w:t>actions.</w:t>
      </w:r>
    </w:p>
    <w:p w14:paraId="220D300A" w14:textId="34DF4699" w:rsidR="00153431" w:rsidRDefault="00153431" w:rsidP="00C07232">
      <w:pPr>
        <w:spacing w:after="240"/>
      </w:pPr>
      <w:r>
        <w:t xml:space="preserve">On 2 August 2022, the Australian Government announced grants of $16 million under the National Early Childhood Program (NECP). In addition to the funding under the NECP, funding of up to $15 million over four years to 2025-26 will be offered for outreach for Aboriginal and Torres Strait Islander children (‘Outreach’ initiative), under the Information, Linkages and Capacity Building program, </w:t>
      </w:r>
      <w:r w:rsidR="00C07232">
        <w:t>which will complement the NECP.</w:t>
      </w:r>
    </w:p>
    <w:p w14:paraId="04126ABD" w14:textId="30D56B0B" w:rsidR="00153431" w:rsidRDefault="00153431" w:rsidP="00C07232">
      <w:pPr>
        <w:spacing w:after="240"/>
      </w:pPr>
      <w:r>
        <w:t>These activities will support young children aged 0-8 years with newly identified disability or emerging developmental concerns outside of the NDIS, and build the capacity of their families and carers to support their child’s development with 50 per cent of all activities under the NECP targeting children with autism or autism-like characteristics. The NECP was informed by a co-design consultation process with around 600 stakeholders and aligns with Australia’s Disability Strategy. The Department of Social Services will undertake further consultation with key stakeholders to inform the design of the ‘Outreach’ initiative in the second half of 2022.</w:t>
      </w:r>
    </w:p>
    <w:p w14:paraId="6D26B570" w14:textId="40D1074F" w:rsidR="0099171B" w:rsidRDefault="00777029" w:rsidP="00777029">
      <w:pPr>
        <w:spacing w:after="160" w:line="259" w:lineRule="auto"/>
      </w:pPr>
      <w:r>
        <w:br w:type="page"/>
      </w:r>
    </w:p>
    <w:p w14:paraId="3CF5CC4B" w14:textId="6421DFFA" w:rsidR="0033524B" w:rsidRDefault="00153431" w:rsidP="00C07232">
      <w:pPr>
        <w:spacing w:after="240"/>
      </w:pPr>
      <w:r>
        <w:lastRenderedPageBreak/>
        <w:t>The NECP builds on</w:t>
      </w:r>
      <w:r w:rsidR="0099171B">
        <w:t xml:space="preserve"> a range of supports and services </w:t>
      </w:r>
      <w:r>
        <w:t xml:space="preserve">the Australian Government has provided </w:t>
      </w:r>
      <w:r w:rsidR="0099171B">
        <w:t xml:space="preserve">through programs such as the Helping Children with Autism (HCWA) </w:t>
      </w:r>
      <w:r w:rsidR="0033524B">
        <w:t>program. Some e</w:t>
      </w:r>
      <w:r w:rsidR="0099171B">
        <w:t xml:space="preserve">lements </w:t>
      </w:r>
      <w:r w:rsidR="0033524B">
        <w:t xml:space="preserve">of the </w:t>
      </w:r>
      <w:r w:rsidR="0099171B">
        <w:t xml:space="preserve">HCWA </w:t>
      </w:r>
      <w:r w:rsidR="0033524B">
        <w:t xml:space="preserve">program </w:t>
      </w:r>
      <w:r>
        <w:t>will cease on 31 December 2022 when supports under the NECP are expected to commence</w:t>
      </w:r>
      <w:r w:rsidR="0033524B">
        <w:t>,</w:t>
      </w:r>
      <w:r w:rsidR="0099171B">
        <w:t xml:space="preserve"> such as autism-specific parent workshops</w:t>
      </w:r>
      <w:r w:rsidR="0033524B">
        <w:t>, c</w:t>
      </w:r>
      <w:r w:rsidR="0099171B">
        <w:t xml:space="preserve">overing </w:t>
      </w:r>
      <w:r w:rsidR="0033524B">
        <w:t>both the early and school years</w:t>
      </w:r>
      <w:r w:rsidR="0099171B">
        <w:t>, a</w:t>
      </w:r>
      <w:r w:rsidR="0033524B">
        <w:t xml:space="preserve">nd autism-specific playgroups for children. The HCWA </w:t>
      </w:r>
      <w:r w:rsidR="0099171B">
        <w:t xml:space="preserve">program has also funded disability specific information on </w:t>
      </w:r>
      <w:r w:rsidR="00581603">
        <w:t>the Raising Children </w:t>
      </w:r>
      <w:r w:rsidR="0033524B">
        <w:t>Network website.</w:t>
      </w:r>
    </w:p>
    <w:p w14:paraId="60D0EB75" w14:textId="04410599" w:rsidR="0033524B" w:rsidRPr="00A0572F" w:rsidRDefault="0033524B" w:rsidP="00C07232">
      <w:pPr>
        <w:spacing w:after="240"/>
        <w:rPr>
          <w:rFonts w:eastAsiaTheme="minorEastAsia"/>
          <w:lang w:val="en-NZ"/>
        </w:rPr>
      </w:pPr>
      <w:r w:rsidRPr="00A0572F">
        <w:rPr>
          <w:rFonts w:eastAsiaTheme="minorEastAsia"/>
          <w:lang w:val="en-NZ"/>
        </w:rPr>
        <w:t xml:space="preserve">The Disability Gateway offers links to autism-related information, supports and services </w:t>
      </w:r>
      <w:r w:rsidRPr="00581603">
        <w:rPr>
          <w:rFonts w:eastAsiaTheme="minorEastAsia"/>
          <w:lang w:val="en-NZ"/>
        </w:rPr>
        <w:t>funded by Commonwealth, state and local governments in each state and territory, including:</w:t>
      </w:r>
    </w:p>
    <w:p w14:paraId="49E5D533" w14:textId="77777777" w:rsidR="0033524B" w:rsidRPr="00A0572F" w:rsidRDefault="0033524B" w:rsidP="00C07232">
      <w:pPr>
        <w:pStyle w:val="ListParagraph"/>
        <w:numPr>
          <w:ilvl w:val="0"/>
          <w:numId w:val="7"/>
        </w:numPr>
        <w:spacing w:after="0" w:line="240" w:lineRule="auto"/>
        <w:ind w:left="714" w:hanging="357"/>
        <w:contextualSpacing w:val="0"/>
        <w:rPr>
          <w:rFonts w:ascii="Times New Roman" w:hAnsi="Times New Roman" w:cs="Times New Roman"/>
          <w:sz w:val="24"/>
          <w:szCs w:val="24"/>
        </w:rPr>
      </w:pPr>
      <w:r w:rsidRPr="00A0572F">
        <w:rPr>
          <w:rFonts w:ascii="Times New Roman" w:hAnsi="Times New Roman" w:cs="Times New Roman"/>
          <w:sz w:val="24"/>
          <w:szCs w:val="24"/>
        </w:rPr>
        <w:t>Autism Connect – a free national autism helpline, providing information to support autistic people, their families and carers, health professionals, researchers, teachers, employers and the broader community; and</w:t>
      </w:r>
    </w:p>
    <w:p w14:paraId="0EE9A57C" w14:textId="45453ACB" w:rsidR="00C07232" w:rsidRPr="00C07232" w:rsidRDefault="00581603" w:rsidP="00C07232">
      <w:pPr>
        <w:pStyle w:val="ListParagraph"/>
        <w:numPr>
          <w:ilvl w:val="0"/>
          <w:numId w:val="7"/>
        </w:numPr>
        <w:spacing w:after="240" w:line="240"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Launchpad -</w:t>
      </w:r>
      <w:r w:rsidR="0033524B" w:rsidRPr="00A0572F">
        <w:rPr>
          <w:rFonts w:ascii="Times New Roman" w:hAnsi="Times New Roman" w:cs="Times New Roman"/>
          <w:sz w:val="24"/>
          <w:szCs w:val="24"/>
        </w:rPr>
        <w:t xml:space="preserve"> a resource developed by Autism Spectrum Australia to help young </w:t>
      </w:r>
      <w:r w:rsidR="0033524B">
        <w:rPr>
          <w:rFonts w:ascii="Times New Roman" w:hAnsi="Times New Roman" w:cs="Times New Roman"/>
          <w:sz w:val="24"/>
          <w:szCs w:val="24"/>
        </w:rPr>
        <w:t xml:space="preserve">autistic </w:t>
      </w:r>
      <w:r w:rsidR="0033524B" w:rsidRPr="00A0572F">
        <w:rPr>
          <w:rFonts w:ascii="Times New Roman" w:hAnsi="Times New Roman" w:cs="Times New Roman"/>
          <w:sz w:val="24"/>
          <w:szCs w:val="24"/>
        </w:rPr>
        <w:t>people</w:t>
      </w:r>
      <w:r w:rsidR="0033524B">
        <w:rPr>
          <w:rFonts w:ascii="Times New Roman" w:hAnsi="Times New Roman" w:cs="Times New Roman"/>
          <w:sz w:val="24"/>
          <w:szCs w:val="24"/>
        </w:rPr>
        <w:t xml:space="preserve"> </w:t>
      </w:r>
      <w:r w:rsidR="0033524B" w:rsidRPr="00A0572F">
        <w:rPr>
          <w:rFonts w:ascii="Times New Roman" w:hAnsi="Times New Roman" w:cs="Times New Roman"/>
          <w:sz w:val="24"/>
          <w:szCs w:val="24"/>
        </w:rPr>
        <w:t xml:space="preserve">and their families to live independently. </w:t>
      </w:r>
    </w:p>
    <w:p w14:paraId="5381FB29" w14:textId="38A8866F" w:rsidR="00777029" w:rsidRDefault="0033524B" w:rsidP="00C07232">
      <w:pPr>
        <w:spacing w:after="240"/>
        <w:rPr>
          <w:rFonts w:eastAsiaTheme="minorEastAsia"/>
          <w:lang w:val="en-NZ"/>
        </w:rPr>
      </w:pPr>
      <w:r w:rsidRPr="00A0572F">
        <w:rPr>
          <w:rFonts w:eastAsiaTheme="minorEastAsia"/>
          <w:lang w:val="en-NZ"/>
        </w:rPr>
        <w:t xml:space="preserve">Funding has been allocated to ensure the Disability Gateway </w:t>
      </w:r>
      <w:r w:rsidR="00581603">
        <w:rPr>
          <w:rFonts w:eastAsiaTheme="minorEastAsia"/>
          <w:lang w:val="en-NZ"/>
        </w:rPr>
        <w:t>website content continues to be </w:t>
      </w:r>
      <w:r w:rsidRPr="00A0572F">
        <w:rPr>
          <w:rFonts w:eastAsiaTheme="minorEastAsia"/>
          <w:lang w:val="en-NZ"/>
        </w:rPr>
        <w:t>accessible, current and is expanded on in the future. This includes providing information on more autism-related services and supports, developed by Autism Spectrum Australia and other autism-related sector organisations and through user feedback and usage.</w:t>
      </w:r>
    </w:p>
    <w:tbl>
      <w:tblPr>
        <w:tblStyle w:val="TableGrid"/>
        <w:tblW w:w="0" w:type="auto"/>
        <w:tblLook w:val="04A0" w:firstRow="1" w:lastRow="0" w:firstColumn="1" w:lastColumn="0" w:noHBand="0" w:noVBand="1"/>
        <w:tblDescription w:val="Decorative"/>
      </w:tblPr>
      <w:tblGrid>
        <w:gridCol w:w="9016"/>
      </w:tblGrid>
      <w:tr w:rsidR="00777029" w14:paraId="2C97F1BF" w14:textId="77777777" w:rsidTr="00777029">
        <w:tc>
          <w:tcPr>
            <w:tcW w:w="9016" w:type="dxa"/>
          </w:tcPr>
          <w:p w14:paraId="657B9029" w14:textId="77777777" w:rsidR="00777029" w:rsidRPr="00777029" w:rsidRDefault="00777029" w:rsidP="00777029">
            <w:pPr>
              <w:widowControl w:val="0"/>
              <w:tabs>
                <w:tab w:val="left" w:pos="744"/>
              </w:tabs>
              <w:autoSpaceDE w:val="0"/>
              <w:autoSpaceDN w:val="0"/>
              <w:spacing w:before="64" w:line="276" w:lineRule="auto"/>
              <w:ind w:right="717"/>
              <w:jc w:val="both"/>
              <w:rPr>
                <w:b/>
              </w:rPr>
            </w:pPr>
            <w:r w:rsidRPr="00777029">
              <w:rPr>
                <w:b/>
              </w:rPr>
              <w:t>Recommendation 45</w:t>
            </w:r>
          </w:p>
          <w:p w14:paraId="72C938E1" w14:textId="50565913" w:rsidR="00777029" w:rsidRDefault="00777029" w:rsidP="00777029">
            <w:pPr>
              <w:rPr>
                <w:rFonts w:eastAsiaTheme="minorEastAsia"/>
                <w:lang w:val="en-NZ"/>
              </w:rPr>
            </w:pPr>
            <w:r w:rsidRPr="0005294A">
              <w:t>The committee recommends that all</w:t>
            </w:r>
            <w:r w:rsidRPr="0005294A">
              <w:rPr>
                <w:bCs/>
              </w:rPr>
              <w:t xml:space="preserve"> National Disability Insurance Scheme </w:t>
            </w:r>
            <w:r w:rsidRPr="0005294A">
              <w:t>planners and educators associated with the new Early Childhood Approach undergo training in understanding autism and best evidence-based approaches to intervention.</w:t>
            </w:r>
          </w:p>
        </w:tc>
      </w:tr>
    </w:tbl>
    <w:p w14:paraId="3EA1A29C" w14:textId="24BD8136" w:rsidR="00B1369E" w:rsidRPr="006A1CA5" w:rsidRDefault="00B1369E" w:rsidP="004A13CA"/>
    <w:p w14:paraId="60121C7F" w14:textId="45E3DB29" w:rsidR="00ED739F" w:rsidRPr="00057950" w:rsidRDefault="001E6A65" w:rsidP="009D75BB">
      <w:pPr>
        <w:rPr>
          <w:b/>
        </w:rPr>
      </w:pPr>
      <w:r w:rsidRPr="001E6A65">
        <w:rPr>
          <w:b/>
        </w:rPr>
        <w:t>Supported</w:t>
      </w:r>
    </w:p>
    <w:p w14:paraId="3F0ACB82" w14:textId="59A41BA7" w:rsidR="006A1CA5" w:rsidRDefault="00ED739F" w:rsidP="00C07232">
      <w:pPr>
        <w:spacing w:after="240"/>
      </w:pPr>
      <w:r>
        <w:t xml:space="preserve">The NDIA’s early childhood approach supports best practice in early childhood intervention because it helps each child and family to build their capacity, and supports greater inclusion in community and every day settings, with the child’s parents, carers, family members and educators playing an important role. </w:t>
      </w:r>
    </w:p>
    <w:p w14:paraId="3E98F5C5" w14:textId="787450EE" w:rsidR="00ED739F" w:rsidRDefault="00AA21AB" w:rsidP="00C07232">
      <w:pPr>
        <w:spacing w:after="240"/>
      </w:pPr>
      <w:r>
        <w:t>Many NDIA Early Childhood P</w:t>
      </w:r>
      <w:r w:rsidR="00ED739F">
        <w:t xml:space="preserve">artners </w:t>
      </w:r>
      <w:r>
        <w:t xml:space="preserve">(EC Partners) </w:t>
      </w:r>
      <w:r w:rsidR="00ED739F">
        <w:t>who support participants in their local community understand the NDIS, create and implement a plan, and assist participants to</w:t>
      </w:r>
      <w:r>
        <w:t> </w:t>
      </w:r>
      <w:r w:rsidR="00ED739F">
        <w:t>understand how the NDIS works with other service systems, are lead</w:t>
      </w:r>
      <w:r w:rsidR="00C07232">
        <w:t>ing practitioners in the field.</w:t>
      </w:r>
    </w:p>
    <w:p w14:paraId="2FCB3948" w14:textId="36C0590D" w:rsidR="009D75BB" w:rsidRPr="008D151C" w:rsidRDefault="009D75BB" w:rsidP="00C07232">
      <w:pPr>
        <w:spacing w:after="240"/>
      </w:pPr>
      <w:r w:rsidRPr="008D151C">
        <w:t>The NDIA has develop</w:t>
      </w:r>
      <w:r w:rsidR="00AA21AB">
        <w:t xml:space="preserve">ed training for EC </w:t>
      </w:r>
      <w:r w:rsidR="001E6A65">
        <w:t>Partners to engage and support</w:t>
      </w:r>
      <w:r w:rsidRPr="008D151C">
        <w:t xml:space="preserve"> participants and families and carers</w:t>
      </w:r>
      <w:r w:rsidR="00C07232">
        <w:t xml:space="preserve"> confidently and meaningfully. </w:t>
      </w:r>
    </w:p>
    <w:p w14:paraId="76754324" w14:textId="272D693F" w:rsidR="009D75BB" w:rsidRDefault="00AA21AB" w:rsidP="00C07232">
      <w:pPr>
        <w:spacing w:after="240"/>
      </w:pPr>
      <w:r>
        <w:t>The NDIA’s Early C</w:t>
      </w:r>
      <w:r w:rsidR="009D75BB" w:rsidRPr="008D151C">
        <w:t>hildhood approach is based on best pract</w:t>
      </w:r>
      <w:r>
        <w:t>ice, international standards of </w:t>
      </w:r>
      <w:r w:rsidR="009D75BB" w:rsidRPr="008D151C">
        <w:t>family centred practices, with the child’s parents, carers, family members and educat</w:t>
      </w:r>
      <w:r w:rsidR="00C07232">
        <w:t xml:space="preserve">ors playing an important role. </w:t>
      </w:r>
    </w:p>
    <w:p w14:paraId="0945A656" w14:textId="63E5ED36" w:rsidR="00ED739F" w:rsidRPr="008D151C" w:rsidRDefault="00ED739F" w:rsidP="00C07232">
      <w:pPr>
        <w:spacing w:after="240"/>
      </w:pPr>
      <w:r>
        <w:t>As part of the NDIA’s commitment to uplifting planner ca</w:t>
      </w:r>
      <w:r w:rsidR="000508F2">
        <w:t>pability as set out in the NDIA </w:t>
      </w:r>
      <w:r>
        <w:t>Corporate Plan, additional work is being undertaken to ensure staff have the right capabilities through the continuous design and delivery of mandatory eLearning tr</w:t>
      </w:r>
      <w:r w:rsidR="00C07232">
        <w:t xml:space="preserve">aining and induction programs. </w:t>
      </w:r>
    </w:p>
    <w:p w14:paraId="0B9DA714" w14:textId="05D96401" w:rsidR="009D75BB" w:rsidRPr="008D151C" w:rsidRDefault="009D75BB" w:rsidP="00C07232">
      <w:pPr>
        <w:spacing w:after="240"/>
      </w:pPr>
      <w:r w:rsidRPr="008D151C">
        <w:t>The NDIA has also developed a Disability Navigator and disability snapshots to help NDIA staff and partners improve their awareness and understanding of the lived experience o</w:t>
      </w:r>
      <w:r w:rsidR="000508F2">
        <w:t>f </w:t>
      </w:r>
      <w:r w:rsidRPr="008D151C">
        <w:t>people with disabilities, including</w:t>
      </w:r>
      <w:r w:rsidR="00EF07A7">
        <w:t xml:space="preserve"> autistic</w:t>
      </w:r>
      <w:r w:rsidRPr="008D151C">
        <w:t xml:space="preserve"> peopl</w:t>
      </w:r>
      <w:r w:rsidR="00EF07A7">
        <w:t>e</w:t>
      </w:r>
      <w:r w:rsidRPr="008D151C">
        <w:t>.</w:t>
      </w:r>
    </w:p>
    <w:p w14:paraId="166F6928" w14:textId="13D74FCF" w:rsidR="00777029" w:rsidRPr="000C1AF5" w:rsidRDefault="009D75BB" w:rsidP="00C07232">
      <w:pPr>
        <w:spacing w:after="240"/>
      </w:pPr>
      <w:r w:rsidRPr="008D151C">
        <w:lastRenderedPageBreak/>
        <w:t xml:space="preserve">The NDIA’s decision making is guided by evidence-based </w:t>
      </w:r>
      <w:r w:rsidR="000508F2">
        <w:t>approaches and will continue to </w:t>
      </w:r>
      <w:r w:rsidRPr="008D151C">
        <w:t>incorporate research findings into training for EC Partners as these become available.</w:t>
      </w:r>
    </w:p>
    <w:p w14:paraId="26F6E5D9" w14:textId="7A4B7749" w:rsidR="00656339" w:rsidRPr="000C1AF5" w:rsidRDefault="00142C32" w:rsidP="00A12901">
      <w:pPr>
        <w:pStyle w:val="Heading2"/>
      </w:pPr>
      <w:r w:rsidRPr="00777029">
        <w:t>Education</w:t>
      </w:r>
    </w:p>
    <w:tbl>
      <w:tblPr>
        <w:tblStyle w:val="TableGrid"/>
        <w:tblW w:w="0" w:type="auto"/>
        <w:tblLook w:val="04A0" w:firstRow="1" w:lastRow="0" w:firstColumn="1" w:lastColumn="0" w:noHBand="0" w:noVBand="1"/>
        <w:tblDescription w:val="Decorative"/>
      </w:tblPr>
      <w:tblGrid>
        <w:gridCol w:w="9016"/>
      </w:tblGrid>
      <w:tr w:rsidR="00777029" w14:paraId="58E563E8" w14:textId="77777777" w:rsidTr="00777029">
        <w:tc>
          <w:tcPr>
            <w:tcW w:w="9016" w:type="dxa"/>
          </w:tcPr>
          <w:p w14:paraId="438D1A6B" w14:textId="77777777" w:rsidR="00777029" w:rsidRPr="00D90098" w:rsidRDefault="00777029" w:rsidP="00777029">
            <w:pPr>
              <w:spacing w:line="276" w:lineRule="auto"/>
              <w:jc w:val="both"/>
              <w:rPr>
                <w:b/>
              </w:rPr>
            </w:pPr>
            <w:r w:rsidRPr="00D90098">
              <w:rPr>
                <w:b/>
              </w:rPr>
              <w:t>Recommendation 46</w:t>
            </w:r>
          </w:p>
          <w:p w14:paraId="173B60A0" w14:textId="77777777" w:rsidR="00777029" w:rsidRPr="0005294A" w:rsidRDefault="00777029" w:rsidP="00777029">
            <w:pPr>
              <w:pStyle w:val="ListParagraph"/>
              <w:widowControl w:val="0"/>
              <w:tabs>
                <w:tab w:val="left" w:pos="29"/>
              </w:tabs>
              <w:autoSpaceDE w:val="0"/>
              <w:autoSpaceDN w:val="0"/>
              <w:spacing w:before="61"/>
              <w:ind w:left="29" w:right="717"/>
              <w:rPr>
                <w:rFonts w:ascii="Times New Roman" w:hAnsi="Times New Roman" w:cs="Times New Roman"/>
                <w:sz w:val="24"/>
                <w:szCs w:val="24"/>
              </w:rPr>
            </w:pPr>
            <w:r w:rsidRPr="0005294A">
              <w:rPr>
                <w:rFonts w:ascii="Times New Roman" w:hAnsi="Times New Roman" w:cs="Times New Roman"/>
                <w:sz w:val="24"/>
                <w:szCs w:val="24"/>
              </w:rPr>
              <w:t>The</w:t>
            </w:r>
            <w:r w:rsidRPr="0005294A">
              <w:rPr>
                <w:rFonts w:ascii="Times New Roman" w:hAnsi="Times New Roman" w:cs="Times New Roman"/>
                <w:spacing w:val="-15"/>
                <w:sz w:val="24"/>
                <w:szCs w:val="24"/>
              </w:rPr>
              <w:t xml:space="preserve"> </w:t>
            </w:r>
            <w:r w:rsidRPr="0005294A">
              <w:rPr>
                <w:rFonts w:ascii="Times New Roman" w:hAnsi="Times New Roman" w:cs="Times New Roman"/>
                <w:sz w:val="24"/>
                <w:szCs w:val="24"/>
              </w:rPr>
              <w:t>committee</w:t>
            </w:r>
            <w:r w:rsidRPr="0005294A">
              <w:rPr>
                <w:rFonts w:ascii="Times New Roman" w:hAnsi="Times New Roman" w:cs="Times New Roman"/>
                <w:spacing w:val="-15"/>
                <w:sz w:val="24"/>
                <w:szCs w:val="24"/>
              </w:rPr>
              <w:t xml:space="preserve"> </w:t>
            </w:r>
            <w:r w:rsidRPr="0005294A">
              <w:rPr>
                <w:rFonts w:ascii="Times New Roman" w:hAnsi="Times New Roman" w:cs="Times New Roman"/>
                <w:sz w:val="24"/>
                <w:szCs w:val="24"/>
              </w:rPr>
              <w:t>supports implementation of the recommendations of the 2020 Review of the Disability Standards</w:t>
            </w:r>
            <w:r w:rsidRPr="0005294A">
              <w:rPr>
                <w:rFonts w:ascii="Times New Roman" w:hAnsi="Times New Roman" w:cs="Times New Roman"/>
                <w:i/>
                <w:sz w:val="24"/>
                <w:szCs w:val="24"/>
              </w:rPr>
              <w:t xml:space="preserve"> for Education 2005 </w:t>
            </w:r>
            <w:r w:rsidRPr="0005294A">
              <w:rPr>
                <w:rFonts w:ascii="Times New Roman" w:hAnsi="Times New Roman" w:cs="Times New Roman"/>
                <w:sz w:val="24"/>
                <w:szCs w:val="24"/>
              </w:rPr>
              <w:t xml:space="preserve">and recommends that the </w:t>
            </w:r>
            <w:r w:rsidRPr="0005294A">
              <w:rPr>
                <w:rFonts w:ascii="Times New Roman" w:hAnsi="Times New Roman" w:cs="Times New Roman"/>
                <w:bCs/>
                <w:sz w:val="24"/>
                <w:szCs w:val="24"/>
              </w:rPr>
              <w:t>Department of Education, Skills and Employment</w:t>
            </w:r>
            <w:r w:rsidRPr="0005294A">
              <w:rPr>
                <w:rFonts w:ascii="Times New Roman" w:hAnsi="Times New Roman" w:cs="Times New Roman"/>
                <w:sz w:val="24"/>
                <w:szCs w:val="24"/>
              </w:rPr>
              <w:t xml:space="preserve"> and </w:t>
            </w:r>
            <w:r w:rsidRPr="0005294A">
              <w:rPr>
                <w:rFonts w:ascii="Times New Roman" w:hAnsi="Times New Roman" w:cs="Times New Roman"/>
                <w:bCs/>
                <w:sz w:val="24"/>
                <w:szCs w:val="24"/>
              </w:rPr>
              <w:t xml:space="preserve">state and territory </w:t>
            </w:r>
            <w:r w:rsidRPr="0005294A">
              <w:rPr>
                <w:rFonts w:ascii="Times New Roman" w:hAnsi="Times New Roman" w:cs="Times New Roman"/>
                <w:sz w:val="24"/>
                <w:szCs w:val="24"/>
              </w:rPr>
              <w:t>education</w:t>
            </w:r>
            <w:r w:rsidRPr="0005294A">
              <w:rPr>
                <w:rFonts w:ascii="Times New Roman" w:hAnsi="Times New Roman" w:cs="Times New Roman"/>
                <w:spacing w:val="-2"/>
                <w:sz w:val="24"/>
                <w:szCs w:val="24"/>
              </w:rPr>
              <w:t xml:space="preserve"> </w:t>
            </w:r>
            <w:r w:rsidRPr="0005294A">
              <w:rPr>
                <w:rFonts w:ascii="Times New Roman" w:hAnsi="Times New Roman" w:cs="Times New Roman"/>
                <w:sz w:val="24"/>
                <w:szCs w:val="24"/>
              </w:rPr>
              <w:t>authorities:</w:t>
            </w:r>
          </w:p>
          <w:p w14:paraId="6EA24D8C" w14:textId="77777777" w:rsidR="00D90098" w:rsidRDefault="00777029" w:rsidP="0077702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05294A">
              <w:rPr>
                <w:rFonts w:ascii="Times New Roman" w:hAnsi="Times New Roman" w:cs="Times New Roman"/>
                <w:sz w:val="24"/>
                <w:szCs w:val="24"/>
              </w:rPr>
              <w:t>work with the taskforce established to develop the National Autism Strategy to apply an 'autism lens' to the implementation of the Disability Standards for Education review recommendations; and</w:t>
            </w:r>
          </w:p>
          <w:p w14:paraId="7861BEE6" w14:textId="7D20CE96" w:rsidR="00777029" w:rsidRPr="00D90098" w:rsidRDefault="00777029" w:rsidP="00777029">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CB5BD9">
              <w:rPr>
                <w:rFonts w:ascii="Times New Roman" w:hAnsi="Times New Roman" w:cs="Times New Roman"/>
                <w:sz w:val="24"/>
                <w:szCs w:val="24"/>
              </w:rPr>
              <w:t>include specific actions to ensure the Disability Standards for Education meet the needs of autistic students.</w:t>
            </w:r>
          </w:p>
        </w:tc>
      </w:tr>
    </w:tbl>
    <w:p w14:paraId="6D603ADF" w14:textId="77777777" w:rsidR="00777029" w:rsidRPr="000C1AF5" w:rsidRDefault="00777029" w:rsidP="008337E4"/>
    <w:p w14:paraId="50B09560" w14:textId="69197BB9" w:rsidR="0067046D" w:rsidRPr="0067046D" w:rsidRDefault="00BE3458" w:rsidP="0067046D">
      <w:pPr>
        <w:rPr>
          <w:b/>
          <w:bCs/>
          <w:sz w:val="22"/>
          <w:szCs w:val="22"/>
        </w:rPr>
      </w:pPr>
      <w:r w:rsidRPr="006E44AD">
        <w:rPr>
          <w:b/>
          <w:bCs/>
        </w:rPr>
        <w:t>Support</w:t>
      </w:r>
      <w:r w:rsidR="006E44AD" w:rsidRPr="006E44AD">
        <w:rPr>
          <w:b/>
          <w:bCs/>
        </w:rPr>
        <w:t>ed</w:t>
      </w:r>
      <w:r w:rsidR="0067046D" w:rsidRPr="006E44AD">
        <w:rPr>
          <w:b/>
          <w:bCs/>
        </w:rPr>
        <w:t xml:space="preserve"> in principle</w:t>
      </w:r>
    </w:p>
    <w:p w14:paraId="5E52AAEC" w14:textId="4EB37E00" w:rsidR="006B0E24" w:rsidRPr="006B0E24" w:rsidRDefault="006B0E24" w:rsidP="000C1AF5">
      <w:pPr>
        <w:autoSpaceDE w:val="0"/>
        <w:autoSpaceDN w:val="0"/>
        <w:adjustRightInd w:val="0"/>
        <w:spacing w:after="240"/>
        <w:rPr>
          <w:shd w:val="clear" w:color="auto" w:fill="FFFFFF"/>
        </w:rPr>
      </w:pPr>
      <w:r>
        <w:t>The Department of Education</w:t>
      </w:r>
      <w:r w:rsidR="0067046D" w:rsidRPr="006B0E24">
        <w:t xml:space="preserve"> is working </w:t>
      </w:r>
      <w:r w:rsidR="0067046D" w:rsidRPr="006B0E24">
        <w:rPr>
          <w:shd w:val="clear" w:color="auto" w:fill="FFFFFF"/>
        </w:rPr>
        <w:t xml:space="preserve">with state and territory governments and education authorities to implement the recommendations of the </w:t>
      </w:r>
      <w:r w:rsidR="0067046D" w:rsidRPr="006B0E24">
        <w:t xml:space="preserve">2020 Review of the </w:t>
      </w:r>
      <w:r w:rsidR="002A744B">
        <w:rPr>
          <w:i/>
          <w:iCs/>
        </w:rPr>
        <w:t>Disability </w:t>
      </w:r>
      <w:r w:rsidR="0067046D" w:rsidRPr="006B0E24">
        <w:rPr>
          <w:i/>
          <w:iCs/>
        </w:rPr>
        <w:t>Standards for Education</w:t>
      </w:r>
      <w:r w:rsidR="0067046D" w:rsidRPr="006B0E24">
        <w:rPr>
          <w:i/>
        </w:rPr>
        <w:t xml:space="preserve"> 2005 </w:t>
      </w:r>
      <w:r w:rsidR="0067046D" w:rsidRPr="006B0E24">
        <w:rPr>
          <w:iCs/>
        </w:rPr>
        <w:t>(the Review)</w:t>
      </w:r>
      <w:r w:rsidR="0067046D" w:rsidRPr="006B0E24">
        <w:rPr>
          <w:shd w:val="clear" w:color="auto" w:fill="FFFFFF"/>
        </w:rPr>
        <w:t>.</w:t>
      </w:r>
      <w:r w:rsidR="0067046D" w:rsidRPr="006B0E24">
        <w:t xml:space="preserve"> The Review was conducted with extensive community consultation, including stakeholders supporting </w:t>
      </w:r>
      <w:r w:rsidR="00EF07A7">
        <w:t xml:space="preserve">autistic </w:t>
      </w:r>
      <w:r w:rsidR="0067046D" w:rsidRPr="006B0E24">
        <w:t xml:space="preserve">students and people living with autism. The recommendations are being implemented in a consultative manner, </w:t>
      </w:r>
      <w:r w:rsidR="00393F3E">
        <w:t xml:space="preserve">and </w:t>
      </w:r>
      <w:r w:rsidR="0067046D" w:rsidRPr="006B0E24">
        <w:t>inclusive of the needs of</w:t>
      </w:r>
      <w:r w:rsidR="00EF07A7">
        <w:t xml:space="preserve"> autistic</w:t>
      </w:r>
      <w:r w:rsidR="0067046D" w:rsidRPr="006B0E24">
        <w:t xml:space="preserve"> students.</w:t>
      </w:r>
      <w:r w:rsidR="0067046D" w:rsidRPr="006B0E24">
        <w:rPr>
          <w:shd w:val="clear" w:color="auto" w:fill="FFFFFF"/>
        </w:rPr>
        <w:t xml:space="preserve"> </w:t>
      </w:r>
    </w:p>
    <w:p w14:paraId="18AE1776" w14:textId="3B022F0F" w:rsidR="006A1CA5" w:rsidRDefault="0067046D" w:rsidP="000C1AF5">
      <w:pPr>
        <w:spacing w:after="240"/>
      </w:pPr>
      <w:r w:rsidRPr="006B0E24">
        <w:rPr>
          <w:shd w:val="clear" w:color="auto" w:fill="FFFFFF"/>
        </w:rPr>
        <w:t>Once t</w:t>
      </w:r>
      <w:r w:rsidR="006E44AD">
        <w:rPr>
          <w:shd w:val="clear" w:color="auto" w:fill="FFFFFF"/>
        </w:rPr>
        <w:t>he forum to drive development of a National Autism Strategy is determined</w:t>
      </w:r>
      <w:r w:rsidRPr="006B0E24">
        <w:rPr>
          <w:shd w:val="clear" w:color="auto" w:fill="FFFFFF"/>
        </w:rPr>
        <w:t xml:space="preserve"> (</w:t>
      </w:r>
      <w:r w:rsidR="006B0E24">
        <w:rPr>
          <w:shd w:val="clear" w:color="auto" w:fill="FFFFFF"/>
        </w:rPr>
        <w:t>R</w:t>
      </w:r>
      <w:r w:rsidRPr="006B0E24">
        <w:rPr>
          <w:shd w:val="clear" w:color="auto" w:fill="FFFFFF"/>
        </w:rPr>
        <w:t>ecommendation 2</w:t>
      </w:r>
      <w:r w:rsidR="00B135C3">
        <w:rPr>
          <w:shd w:val="clear" w:color="auto" w:fill="FFFFFF"/>
        </w:rPr>
        <w:t xml:space="preserve"> refers</w:t>
      </w:r>
      <w:r w:rsidRPr="006B0E24">
        <w:rPr>
          <w:shd w:val="clear" w:color="auto" w:fill="FFFFFF"/>
        </w:rPr>
        <w:t xml:space="preserve">), </w:t>
      </w:r>
      <w:r w:rsidR="008C2174">
        <w:rPr>
          <w:shd w:val="clear" w:color="auto" w:fill="FFFFFF"/>
        </w:rPr>
        <w:t>the Department of Education</w:t>
      </w:r>
      <w:r w:rsidR="008C2174" w:rsidRPr="006B0E24">
        <w:rPr>
          <w:shd w:val="clear" w:color="auto" w:fill="FFFFFF"/>
        </w:rPr>
        <w:t xml:space="preserve"> </w:t>
      </w:r>
      <w:r w:rsidRPr="006B0E24">
        <w:rPr>
          <w:shd w:val="clear" w:color="auto" w:fill="FFFFFF"/>
        </w:rPr>
        <w:t xml:space="preserve">will include </w:t>
      </w:r>
      <w:r w:rsidR="006E44AD">
        <w:t>the forum</w:t>
      </w:r>
      <w:r w:rsidRPr="006B0E24">
        <w:t xml:space="preserve"> in its consultative process for implementation of the Review recommendations. </w:t>
      </w:r>
    </w:p>
    <w:p w14:paraId="63D74FED" w14:textId="01A100F3" w:rsidR="0067046D" w:rsidRPr="006B0E24" w:rsidRDefault="0067046D" w:rsidP="0067046D">
      <w:pPr>
        <w:spacing w:after="240"/>
        <w:rPr>
          <w:rFonts w:eastAsia="Calibri"/>
          <w:lang w:val="en-US"/>
        </w:rPr>
      </w:pPr>
      <w:r w:rsidRPr="006B0E24">
        <w:t>All schools in Australia are required under the</w:t>
      </w:r>
      <w:r w:rsidR="00CA682E">
        <w:t xml:space="preserve"> </w:t>
      </w:r>
      <w:r w:rsidR="00CA682E">
        <w:rPr>
          <w:i/>
        </w:rPr>
        <w:t xml:space="preserve">Disability Discrimination Act 1992 </w:t>
      </w:r>
      <w:r w:rsidR="00CA682E">
        <w:t>and the</w:t>
      </w:r>
      <w:r w:rsidRPr="006B0E24">
        <w:t xml:space="preserve"> </w:t>
      </w:r>
      <w:r w:rsidRPr="006B0E24">
        <w:rPr>
          <w:i/>
          <w:iCs/>
        </w:rPr>
        <w:t>Disability Standards for Education 2005</w:t>
      </w:r>
      <w:r w:rsidR="006E44AD">
        <w:t xml:space="preserve"> (the </w:t>
      </w:r>
      <w:r w:rsidRPr="006B0E24">
        <w:t xml:space="preserve">Standards) to provide reasonable adjustments for students with disability, including autism, so they can access and participate in education on the same basis as students without disability. </w:t>
      </w:r>
      <w:r w:rsidRPr="006B0E24">
        <w:rPr>
          <w:rFonts w:eastAsia="Calibri"/>
        </w:rPr>
        <w:t>While the</w:t>
      </w:r>
      <w:r w:rsidR="006E44AD">
        <w:rPr>
          <w:rFonts w:eastAsia="Calibri"/>
        </w:rPr>
        <w:t> </w:t>
      </w:r>
      <w:r w:rsidR="00B62FDB">
        <w:rPr>
          <w:rFonts w:eastAsia="Calibri"/>
        </w:rPr>
        <w:t>Australian</w:t>
      </w:r>
      <w:r w:rsidR="006E44AD">
        <w:rPr>
          <w:rFonts w:eastAsia="Calibri"/>
        </w:rPr>
        <w:t> </w:t>
      </w:r>
      <w:r w:rsidRPr="006B0E24">
        <w:rPr>
          <w:rFonts w:eastAsia="Calibri"/>
        </w:rPr>
        <w:t xml:space="preserve">Government </w:t>
      </w:r>
      <w:r w:rsidR="002A744B">
        <w:rPr>
          <w:rFonts w:eastAsia="Calibri"/>
          <w:lang w:val="en-US"/>
        </w:rPr>
        <w:t>plays a </w:t>
      </w:r>
      <w:r w:rsidRPr="006B0E24">
        <w:rPr>
          <w:rFonts w:eastAsia="Calibri"/>
          <w:lang w:val="en-US"/>
        </w:rPr>
        <w:t>leadership role in education and provides subst</w:t>
      </w:r>
      <w:r w:rsidR="006E44AD">
        <w:rPr>
          <w:rFonts w:eastAsia="Calibri"/>
          <w:lang w:val="en-US"/>
        </w:rPr>
        <w:t xml:space="preserve">antial funding for schools, </w:t>
      </w:r>
      <w:r w:rsidR="001B05D6">
        <w:rPr>
          <w:rFonts w:eastAsia="Calibri"/>
          <w:lang w:val="en-US"/>
        </w:rPr>
        <w:t>s</w:t>
      </w:r>
      <w:r w:rsidRPr="006B0E24">
        <w:rPr>
          <w:rFonts w:eastAsia="Calibri"/>
          <w:lang w:val="en-US"/>
        </w:rPr>
        <w:t xml:space="preserve">tate and </w:t>
      </w:r>
      <w:r w:rsidR="001B05D6">
        <w:rPr>
          <w:rFonts w:eastAsia="Calibri"/>
          <w:lang w:val="en-US"/>
        </w:rPr>
        <w:t>t</w:t>
      </w:r>
      <w:r w:rsidRPr="006B0E24">
        <w:rPr>
          <w:rFonts w:eastAsia="Calibri"/>
          <w:lang w:val="en-US"/>
        </w:rPr>
        <w:t xml:space="preserve">erritory </w:t>
      </w:r>
      <w:r w:rsidR="001B05D6">
        <w:rPr>
          <w:rFonts w:eastAsia="Calibri"/>
          <w:lang w:val="en-US"/>
        </w:rPr>
        <w:t>g</w:t>
      </w:r>
      <w:r w:rsidRPr="006B0E24">
        <w:rPr>
          <w:rFonts w:eastAsia="Calibri"/>
          <w:lang w:val="en-US"/>
        </w:rPr>
        <w:t>overnments are responsible for the regulation, administration and operation of schools.</w:t>
      </w:r>
    </w:p>
    <w:p w14:paraId="6907102A" w14:textId="1D070811" w:rsidR="001B05D6" w:rsidRDefault="0067046D" w:rsidP="001B05D6">
      <w:r w:rsidRPr="006B0E24">
        <w:t>Further information about the Review is available on the</w:t>
      </w:r>
      <w:r w:rsidR="00393F3E">
        <w:t xml:space="preserve"> </w:t>
      </w:r>
      <w:r w:rsidR="008C2174">
        <w:t>Department of Education</w:t>
      </w:r>
      <w:r w:rsidR="008C2174" w:rsidRPr="006B0E24">
        <w:t xml:space="preserve"> </w:t>
      </w:r>
      <w:r w:rsidRPr="006B0E24">
        <w:t>website at</w:t>
      </w:r>
      <w:r w:rsidR="006E44AD">
        <w:t>:</w:t>
      </w:r>
      <w:r w:rsidRPr="006B0E24">
        <w:t xml:space="preserve"> </w:t>
      </w:r>
      <w:hyperlink r:id="rId15" w:history="1">
        <w:r w:rsidR="00061422">
          <w:rPr>
            <w:rStyle w:val="Hyperlink"/>
          </w:rPr>
          <w:t>Final Report – 2020 Review of the Disability Standards for Education 2005</w:t>
        </w:r>
      </w:hyperlink>
      <w:r w:rsidR="006E44AD">
        <w:t>.</w:t>
      </w:r>
    </w:p>
    <w:p w14:paraId="41C5A34B" w14:textId="1334ACB4" w:rsidR="009C20F0" w:rsidRDefault="009C20F0">
      <w:pPr>
        <w:spacing w:after="160" w:line="259" w:lineRule="auto"/>
        <w:rPr>
          <w:color w:val="000000" w:themeColor="text1"/>
          <w:u w:val="single"/>
        </w:rPr>
      </w:pPr>
      <w:r>
        <w:rPr>
          <w:color w:val="000000" w:themeColor="text1"/>
          <w:u w:val="single"/>
        </w:rPr>
        <w:br w:type="page"/>
      </w:r>
    </w:p>
    <w:tbl>
      <w:tblPr>
        <w:tblStyle w:val="TableGrid"/>
        <w:tblW w:w="0" w:type="auto"/>
        <w:tblInd w:w="-5" w:type="dxa"/>
        <w:tblLook w:val="04A0" w:firstRow="1" w:lastRow="0" w:firstColumn="1" w:lastColumn="0" w:noHBand="0" w:noVBand="1"/>
        <w:tblDescription w:val="Decorative"/>
      </w:tblPr>
      <w:tblGrid>
        <w:gridCol w:w="9016"/>
      </w:tblGrid>
      <w:tr w:rsidR="00D90098" w14:paraId="637594E2" w14:textId="77777777" w:rsidTr="00D90098">
        <w:tc>
          <w:tcPr>
            <w:tcW w:w="9016" w:type="dxa"/>
          </w:tcPr>
          <w:p w14:paraId="53C37136" w14:textId="77777777" w:rsidR="00D90098" w:rsidRPr="00D90098" w:rsidRDefault="00D90098" w:rsidP="00D90098">
            <w:pPr>
              <w:jc w:val="both"/>
              <w:rPr>
                <w:b/>
              </w:rPr>
            </w:pPr>
            <w:r w:rsidRPr="00D90098">
              <w:rPr>
                <w:b/>
              </w:rPr>
              <w:lastRenderedPageBreak/>
              <w:t>Recommendation 47</w:t>
            </w:r>
          </w:p>
          <w:p w14:paraId="0BDAF41F" w14:textId="77777777" w:rsidR="00D90098" w:rsidRPr="00087DA3" w:rsidRDefault="00D90098" w:rsidP="00D90098">
            <w:pPr>
              <w:rPr>
                <w:b/>
                <w:i/>
              </w:rPr>
            </w:pPr>
            <w:r w:rsidRPr="00087DA3">
              <w:t>The committee recommends that the Australian Government coordinate with</w:t>
            </w:r>
            <w:r w:rsidRPr="00087DA3">
              <w:rPr>
                <w:spacing w:val="-17"/>
              </w:rPr>
              <w:t xml:space="preserve"> </w:t>
            </w:r>
            <w:r w:rsidRPr="00087DA3">
              <w:t>all</w:t>
            </w:r>
            <w:r w:rsidRPr="00087DA3">
              <w:rPr>
                <w:spacing w:val="-17"/>
              </w:rPr>
              <w:t xml:space="preserve"> </w:t>
            </w:r>
            <w:r w:rsidRPr="00087DA3">
              <w:t>government</w:t>
            </w:r>
            <w:r w:rsidRPr="00087DA3">
              <w:rPr>
                <w:spacing w:val="-18"/>
              </w:rPr>
              <w:t xml:space="preserve"> </w:t>
            </w:r>
            <w:r w:rsidRPr="00087DA3">
              <w:t>and</w:t>
            </w:r>
            <w:r w:rsidRPr="00087DA3">
              <w:rPr>
                <w:spacing w:val="-16"/>
              </w:rPr>
              <w:t xml:space="preserve"> </w:t>
            </w:r>
            <w:r w:rsidRPr="00087DA3">
              <w:t>non-government</w:t>
            </w:r>
            <w:r w:rsidRPr="00087DA3">
              <w:rPr>
                <w:spacing w:val="-18"/>
              </w:rPr>
              <w:t xml:space="preserve"> </w:t>
            </w:r>
            <w:r w:rsidRPr="00087DA3">
              <w:t>education</w:t>
            </w:r>
            <w:r w:rsidRPr="00087DA3">
              <w:rPr>
                <w:spacing w:val="-16"/>
              </w:rPr>
              <w:t xml:space="preserve"> </w:t>
            </w:r>
            <w:r w:rsidRPr="00087DA3">
              <w:t>authorities</w:t>
            </w:r>
            <w:r w:rsidRPr="00087DA3">
              <w:rPr>
                <w:spacing w:val="-17"/>
              </w:rPr>
              <w:t xml:space="preserve"> </w:t>
            </w:r>
            <w:r w:rsidRPr="00087DA3">
              <w:t>to</w:t>
            </w:r>
            <w:r w:rsidRPr="00087DA3">
              <w:rPr>
                <w:spacing w:val="-14"/>
              </w:rPr>
              <w:t xml:space="preserve"> </w:t>
            </w:r>
            <w:r w:rsidRPr="00087DA3">
              <w:t>ensure</w:t>
            </w:r>
            <w:r w:rsidRPr="00087DA3">
              <w:rPr>
                <w:spacing w:val="-16"/>
              </w:rPr>
              <w:t xml:space="preserve"> </w:t>
            </w:r>
            <w:r w:rsidRPr="00087DA3">
              <w:t>that policies on bullying include specific measures to address bullying of autistic students, including the use of:</w:t>
            </w:r>
          </w:p>
          <w:p w14:paraId="2A2AD28B" w14:textId="77777777" w:rsidR="00D90098" w:rsidRDefault="00D90098" w:rsidP="00D90098">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087DA3">
              <w:rPr>
                <w:rFonts w:ascii="Times New Roman" w:hAnsi="Times New Roman" w:cs="Times New Roman"/>
                <w:sz w:val="24"/>
                <w:szCs w:val="24"/>
              </w:rPr>
              <w:t>frameworks for positive behaviour interventions and support; and</w:t>
            </w:r>
          </w:p>
          <w:p w14:paraId="609C33A1" w14:textId="349DF0C7" w:rsidR="00D90098" w:rsidRPr="00D90098" w:rsidRDefault="00D90098" w:rsidP="00D90098">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CB5BD9">
              <w:rPr>
                <w:rFonts w:ascii="Times New Roman" w:hAnsi="Times New Roman" w:cs="Times New Roman"/>
                <w:sz w:val="24"/>
                <w:szCs w:val="24"/>
              </w:rPr>
              <w:t>opportunities for supported social engagement.</w:t>
            </w:r>
          </w:p>
        </w:tc>
      </w:tr>
    </w:tbl>
    <w:p w14:paraId="654826F7" w14:textId="77777777" w:rsidR="00D90098" w:rsidRPr="00C9043B" w:rsidRDefault="00D90098" w:rsidP="00347190">
      <w:pPr>
        <w:rPr>
          <w:bCs/>
        </w:rPr>
      </w:pPr>
    </w:p>
    <w:p w14:paraId="2A00522B" w14:textId="56FDE507" w:rsidR="0067046D" w:rsidRPr="0067046D" w:rsidRDefault="00F155DD" w:rsidP="00347190">
      <w:pPr>
        <w:rPr>
          <w:b/>
          <w:bCs/>
        </w:rPr>
      </w:pPr>
      <w:r>
        <w:rPr>
          <w:b/>
          <w:bCs/>
        </w:rPr>
        <w:t xml:space="preserve">Supported </w:t>
      </w:r>
      <w:r w:rsidR="0067046D" w:rsidRPr="0067046D">
        <w:rPr>
          <w:b/>
          <w:bCs/>
        </w:rPr>
        <w:t>in principle</w:t>
      </w:r>
    </w:p>
    <w:p w14:paraId="07A54781" w14:textId="67BBBBB0" w:rsidR="00336D91" w:rsidRDefault="0067046D" w:rsidP="00C9043B">
      <w:pPr>
        <w:spacing w:after="240"/>
      </w:pPr>
      <w:r w:rsidRPr="0067046D">
        <w:t xml:space="preserve">State and territory education authorities have constitutional responsibility for the delivery and regulation of schooling to all children of school age in their jurisdictions, including policies on bullying and support for </w:t>
      </w:r>
      <w:r w:rsidR="00EF07A7">
        <w:t xml:space="preserve">autistic </w:t>
      </w:r>
      <w:r w:rsidRPr="0067046D">
        <w:t>students.</w:t>
      </w:r>
    </w:p>
    <w:p w14:paraId="3EA4DEE8" w14:textId="42C0B5A2" w:rsidR="0067046D" w:rsidRPr="0067046D" w:rsidRDefault="00336D91" w:rsidP="00C9043B">
      <w:pPr>
        <w:spacing w:after="240"/>
      </w:pPr>
      <w:r>
        <w:t>Once the forum to drive development of a National Autism Strategy is chosen (Recommendation 2 refers), the Department of Education will consult with the forum on specific measures, frameworks, policies and approaches, and t</w:t>
      </w:r>
      <w:r w:rsidR="002A744B">
        <w:t>he success of these measures to </w:t>
      </w:r>
      <w:r>
        <w:t>address bullying of autistic students.</w:t>
      </w:r>
    </w:p>
    <w:p w14:paraId="628A2A52" w14:textId="4EE44937" w:rsidR="00FB3B08" w:rsidRDefault="0067046D" w:rsidP="00C9043B">
      <w:pPr>
        <w:pStyle w:val="NormalWeb"/>
        <w:spacing w:before="0" w:beforeAutospacing="0" w:after="240" w:afterAutospacing="0" w:line="216" w:lineRule="atLeast"/>
        <w:rPr>
          <w:rFonts w:ascii="Times New Roman" w:hAnsi="Times New Roman" w:cs="Times New Roman"/>
          <w:sz w:val="24"/>
          <w:szCs w:val="24"/>
          <w:lang w:eastAsia="en-US"/>
        </w:rPr>
      </w:pPr>
      <w:r w:rsidRPr="0067046D">
        <w:rPr>
          <w:rFonts w:ascii="Times New Roman" w:hAnsi="Times New Roman" w:cs="Times New Roman"/>
          <w:sz w:val="24"/>
          <w:szCs w:val="24"/>
          <w:lang w:eastAsia="en-US"/>
        </w:rPr>
        <w:t xml:space="preserve">The Australian Government takes a leadership role in setting and advocating for national priorities for school education and also supports national programs and resources that schools, students, and families can use to address bullying issues and make school environments safe </w:t>
      </w:r>
      <w:r w:rsidR="00336D91">
        <w:rPr>
          <w:rFonts w:ascii="Times New Roman" w:hAnsi="Times New Roman" w:cs="Times New Roman"/>
          <w:sz w:val="24"/>
          <w:szCs w:val="24"/>
          <w:lang w:eastAsia="en-US"/>
        </w:rPr>
        <w:t xml:space="preserve">and inclusive </w:t>
      </w:r>
      <w:r w:rsidRPr="0067046D">
        <w:rPr>
          <w:rFonts w:ascii="Times New Roman" w:hAnsi="Times New Roman" w:cs="Times New Roman"/>
          <w:sz w:val="24"/>
          <w:szCs w:val="24"/>
          <w:lang w:eastAsia="en-US"/>
        </w:rPr>
        <w:t>to support the wellbeing</w:t>
      </w:r>
      <w:r w:rsidR="002A744B">
        <w:rPr>
          <w:rFonts w:ascii="Times New Roman" w:hAnsi="Times New Roman" w:cs="Times New Roman"/>
          <w:sz w:val="24"/>
          <w:szCs w:val="24"/>
          <w:lang w:eastAsia="en-US"/>
        </w:rPr>
        <w:t xml:space="preserve"> of all young people, including </w:t>
      </w:r>
      <w:r w:rsidRPr="0067046D">
        <w:rPr>
          <w:rFonts w:ascii="Times New Roman" w:hAnsi="Times New Roman" w:cs="Times New Roman"/>
          <w:sz w:val="24"/>
          <w:szCs w:val="24"/>
          <w:lang w:eastAsia="en-US"/>
        </w:rPr>
        <w:t xml:space="preserve">neurodiverse students. </w:t>
      </w:r>
    </w:p>
    <w:p w14:paraId="13220DDB" w14:textId="2D47257E" w:rsidR="0067046D" w:rsidRPr="0067046D" w:rsidRDefault="0067046D" w:rsidP="00C9043B">
      <w:pPr>
        <w:pStyle w:val="NormalWeb"/>
        <w:spacing w:before="0" w:beforeAutospacing="0" w:after="240" w:afterAutospacing="0" w:line="216" w:lineRule="atLeast"/>
        <w:rPr>
          <w:rFonts w:ascii="Times New Roman" w:hAnsi="Times New Roman" w:cs="Times New Roman"/>
          <w:sz w:val="24"/>
          <w:szCs w:val="24"/>
          <w:lang w:eastAsia="en-US"/>
        </w:rPr>
      </w:pPr>
      <w:r w:rsidRPr="0067046D">
        <w:rPr>
          <w:rFonts w:ascii="Times New Roman" w:hAnsi="Times New Roman" w:cs="Times New Roman"/>
          <w:sz w:val="24"/>
          <w:szCs w:val="24"/>
          <w:lang w:eastAsia="en-US"/>
        </w:rPr>
        <w:t>The</w:t>
      </w:r>
      <w:r w:rsidR="00B62FDB">
        <w:rPr>
          <w:rFonts w:ascii="Times New Roman" w:hAnsi="Times New Roman" w:cs="Times New Roman"/>
          <w:sz w:val="24"/>
          <w:szCs w:val="24"/>
          <w:lang w:eastAsia="en-US"/>
        </w:rPr>
        <w:t xml:space="preserve"> Australian</w:t>
      </w:r>
      <w:r w:rsidRPr="0067046D">
        <w:rPr>
          <w:rFonts w:ascii="Times New Roman" w:hAnsi="Times New Roman" w:cs="Times New Roman"/>
          <w:sz w:val="24"/>
          <w:szCs w:val="24"/>
          <w:lang w:eastAsia="en-US"/>
        </w:rPr>
        <w:t xml:space="preserve"> Government works collaboratively w</w:t>
      </w:r>
      <w:r w:rsidR="002A744B">
        <w:rPr>
          <w:rFonts w:ascii="Times New Roman" w:hAnsi="Times New Roman" w:cs="Times New Roman"/>
          <w:sz w:val="24"/>
          <w:szCs w:val="24"/>
          <w:lang w:eastAsia="en-US"/>
        </w:rPr>
        <w:t xml:space="preserve">ith states and territories on </w:t>
      </w:r>
      <w:r w:rsidRPr="0067046D">
        <w:rPr>
          <w:rFonts w:ascii="Times New Roman" w:hAnsi="Times New Roman" w:cs="Times New Roman"/>
          <w:sz w:val="24"/>
          <w:szCs w:val="24"/>
          <w:lang w:eastAsia="en-US"/>
        </w:rPr>
        <w:t>numerous wellbeing measures. While many of these measures are not explicitly focused on</w:t>
      </w:r>
      <w:r w:rsidR="00EF07A7">
        <w:rPr>
          <w:rFonts w:ascii="Times New Roman" w:hAnsi="Times New Roman" w:cs="Times New Roman"/>
          <w:sz w:val="24"/>
          <w:szCs w:val="24"/>
          <w:lang w:eastAsia="en-US"/>
        </w:rPr>
        <w:t xml:space="preserve"> autistic</w:t>
      </w:r>
      <w:r w:rsidRPr="0067046D">
        <w:rPr>
          <w:rFonts w:ascii="Times New Roman" w:hAnsi="Times New Roman" w:cs="Times New Roman"/>
          <w:sz w:val="24"/>
          <w:szCs w:val="24"/>
          <w:lang w:eastAsia="en-US"/>
        </w:rPr>
        <w:t xml:space="preserve"> students, they are aimed at supporting all students. There may be opportunities to build upon the work already undertaken as part of these initiatives to provide targeted support</w:t>
      </w:r>
      <w:r w:rsidR="002A744B">
        <w:rPr>
          <w:rFonts w:ascii="Times New Roman" w:hAnsi="Times New Roman" w:cs="Times New Roman"/>
          <w:sz w:val="24"/>
          <w:szCs w:val="24"/>
          <w:lang w:eastAsia="en-US"/>
        </w:rPr>
        <w:t xml:space="preserve"> for</w:t>
      </w:r>
      <w:r w:rsidRPr="0067046D">
        <w:rPr>
          <w:rFonts w:ascii="Times New Roman" w:hAnsi="Times New Roman" w:cs="Times New Roman"/>
          <w:sz w:val="24"/>
          <w:szCs w:val="24"/>
          <w:lang w:eastAsia="en-US"/>
        </w:rPr>
        <w:t xml:space="preserve"> </w:t>
      </w:r>
      <w:r w:rsidR="00336D91">
        <w:rPr>
          <w:rFonts w:ascii="Times New Roman" w:hAnsi="Times New Roman" w:cs="Times New Roman"/>
          <w:sz w:val="24"/>
          <w:szCs w:val="24"/>
          <w:lang w:eastAsia="en-US"/>
        </w:rPr>
        <w:t xml:space="preserve">autistic </w:t>
      </w:r>
      <w:r w:rsidRPr="0067046D">
        <w:rPr>
          <w:rFonts w:ascii="Times New Roman" w:hAnsi="Times New Roman" w:cs="Times New Roman"/>
          <w:sz w:val="24"/>
          <w:szCs w:val="24"/>
          <w:lang w:eastAsia="en-US"/>
        </w:rPr>
        <w:t xml:space="preserve">students. Some key measures addressing bullying and supporting the wellbeing of students </w:t>
      </w:r>
      <w:r w:rsidRPr="002A744B">
        <w:rPr>
          <w:rFonts w:ascii="Times New Roman" w:hAnsi="Times New Roman" w:cs="Times New Roman"/>
          <w:sz w:val="24"/>
          <w:szCs w:val="24"/>
          <w:lang w:eastAsia="en-US"/>
        </w:rPr>
        <w:t>and school communities are outlined below:</w:t>
      </w:r>
    </w:p>
    <w:p w14:paraId="189F3176" w14:textId="10BA8C0E" w:rsidR="0067046D" w:rsidRPr="00347A01" w:rsidRDefault="0067046D" w:rsidP="00C9043B">
      <w:pPr>
        <w:pStyle w:val="ListParagraph"/>
        <w:numPr>
          <w:ilvl w:val="0"/>
          <w:numId w:val="7"/>
        </w:numPr>
        <w:spacing w:after="0" w:line="240" w:lineRule="auto"/>
        <w:ind w:left="714" w:hanging="357"/>
        <w:rPr>
          <w:rFonts w:ascii="Times New Roman" w:hAnsi="Times New Roman" w:cs="Times New Roman"/>
          <w:sz w:val="24"/>
          <w:szCs w:val="24"/>
        </w:rPr>
      </w:pPr>
      <w:r w:rsidRPr="00347A01">
        <w:rPr>
          <w:rFonts w:ascii="Times New Roman" w:hAnsi="Times New Roman" w:cs="Times New Roman"/>
          <w:sz w:val="24"/>
          <w:szCs w:val="24"/>
        </w:rPr>
        <w:t xml:space="preserve">The </w:t>
      </w:r>
      <w:r w:rsidR="00347190" w:rsidRPr="00347A01">
        <w:rPr>
          <w:rFonts w:ascii="Times New Roman" w:hAnsi="Times New Roman" w:cs="Times New Roman"/>
          <w:sz w:val="24"/>
          <w:szCs w:val="24"/>
        </w:rPr>
        <w:t xml:space="preserve">Positive Partnerships program </w:t>
      </w:r>
      <w:r w:rsidRPr="00347A01">
        <w:rPr>
          <w:rFonts w:ascii="Times New Roman" w:hAnsi="Times New Roman" w:cs="Times New Roman"/>
          <w:sz w:val="24"/>
          <w:szCs w:val="24"/>
        </w:rPr>
        <w:t>provides professional development for teachers, principals and other school staff to build their understanding, skills</w:t>
      </w:r>
      <w:r w:rsidR="00BA2767">
        <w:rPr>
          <w:rFonts w:ascii="Times New Roman" w:hAnsi="Times New Roman" w:cs="Times New Roman"/>
          <w:sz w:val="24"/>
          <w:szCs w:val="24"/>
        </w:rPr>
        <w:t xml:space="preserve"> and expertise in </w:t>
      </w:r>
      <w:r w:rsidRPr="00347A01">
        <w:rPr>
          <w:rFonts w:ascii="Times New Roman" w:hAnsi="Times New Roman" w:cs="Times New Roman"/>
          <w:sz w:val="24"/>
          <w:szCs w:val="24"/>
        </w:rPr>
        <w:t xml:space="preserve">working with </w:t>
      </w:r>
      <w:r w:rsidR="00EF07A7" w:rsidRPr="00347A01">
        <w:rPr>
          <w:rFonts w:ascii="Times New Roman" w:hAnsi="Times New Roman" w:cs="Times New Roman"/>
          <w:sz w:val="24"/>
          <w:szCs w:val="24"/>
        </w:rPr>
        <w:t xml:space="preserve">autistic </w:t>
      </w:r>
      <w:r w:rsidRPr="00347A01">
        <w:rPr>
          <w:rFonts w:ascii="Times New Roman" w:hAnsi="Times New Roman" w:cs="Times New Roman"/>
          <w:sz w:val="24"/>
          <w:szCs w:val="24"/>
        </w:rPr>
        <w:t>school-age students</w:t>
      </w:r>
      <w:r w:rsidR="00347A01">
        <w:rPr>
          <w:rFonts w:ascii="Times New Roman" w:hAnsi="Times New Roman" w:cs="Times New Roman"/>
          <w:sz w:val="24"/>
          <w:szCs w:val="24"/>
        </w:rPr>
        <w:t xml:space="preserve">. It </w:t>
      </w:r>
      <w:r w:rsidRPr="00347A01">
        <w:rPr>
          <w:rFonts w:ascii="Times New Roman" w:hAnsi="Times New Roman" w:cs="Times New Roman"/>
          <w:sz w:val="24"/>
          <w:szCs w:val="24"/>
        </w:rPr>
        <w:t xml:space="preserve">provides workshops, information sessions, and other online resources for parents and carers of </w:t>
      </w:r>
      <w:r w:rsidR="00EF07A7" w:rsidRPr="00347A01">
        <w:rPr>
          <w:rFonts w:ascii="Times New Roman" w:hAnsi="Times New Roman" w:cs="Times New Roman"/>
          <w:sz w:val="24"/>
          <w:szCs w:val="24"/>
        </w:rPr>
        <w:t xml:space="preserve">autistic </w:t>
      </w:r>
      <w:r w:rsidRPr="00347A01">
        <w:rPr>
          <w:rFonts w:ascii="Times New Roman" w:hAnsi="Times New Roman" w:cs="Times New Roman"/>
          <w:sz w:val="24"/>
          <w:szCs w:val="24"/>
        </w:rPr>
        <w:t>school-age students.</w:t>
      </w:r>
    </w:p>
    <w:p w14:paraId="4B6D5A3E" w14:textId="2167E0C9" w:rsidR="006A1CA5" w:rsidRPr="00034D40" w:rsidRDefault="0067046D" w:rsidP="006A1CA5">
      <w:pPr>
        <w:pStyle w:val="ListParagraph"/>
        <w:numPr>
          <w:ilvl w:val="0"/>
          <w:numId w:val="7"/>
        </w:numPr>
        <w:spacing w:after="0" w:line="240" w:lineRule="auto"/>
        <w:ind w:left="714" w:hanging="357"/>
        <w:rPr>
          <w:rFonts w:ascii="Times New Roman" w:hAnsi="Times New Roman" w:cs="Times New Roman"/>
          <w:sz w:val="24"/>
          <w:szCs w:val="24"/>
        </w:rPr>
      </w:pPr>
      <w:r w:rsidRPr="00347A01">
        <w:rPr>
          <w:rFonts w:ascii="Times New Roman" w:hAnsi="Times New Roman" w:cs="Times New Roman"/>
          <w:sz w:val="24"/>
          <w:szCs w:val="24"/>
        </w:rPr>
        <w:t xml:space="preserve">The </w:t>
      </w:r>
      <w:r w:rsidR="00347190" w:rsidRPr="00347A01">
        <w:rPr>
          <w:rFonts w:ascii="Times New Roman" w:hAnsi="Times New Roman" w:cs="Times New Roman"/>
          <w:sz w:val="24"/>
          <w:szCs w:val="24"/>
        </w:rPr>
        <w:t xml:space="preserve">Australian Student Wellbeing Framework </w:t>
      </w:r>
      <w:r w:rsidRPr="00347A01">
        <w:rPr>
          <w:rFonts w:ascii="Times New Roman" w:hAnsi="Times New Roman" w:cs="Times New Roman"/>
          <w:sz w:val="24"/>
          <w:szCs w:val="24"/>
        </w:rPr>
        <w:t>supports school communities to build, maintain and enhance positive and i</w:t>
      </w:r>
      <w:r w:rsidR="00034D40">
        <w:rPr>
          <w:rFonts w:ascii="Times New Roman" w:hAnsi="Times New Roman" w:cs="Times New Roman"/>
          <w:sz w:val="24"/>
          <w:szCs w:val="24"/>
        </w:rPr>
        <w:t>nclusive learning environments.</w:t>
      </w:r>
    </w:p>
    <w:p w14:paraId="519AF3B6" w14:textId="062AB878" w:rsidR="0067046D" w:rsidRPr="00347A01" w:rsidRDefault="0067046D" w:rsidP="00347A01">
      <w:pPr>
        <w:pStyle w:val="ListParagraph"/>
        <w:numPr>
          <w:ilvl w:val="0"/>
          <w:numId w:val="7"/>
        </w:numPr>
        <w:spacing w:after="0" w:line="240" w:lineRule="auto"/>
        <w:ind w:left="714" w:hanging="357"/>
        <w:rPr>
          <w:rFonts w:ascii="Times New Roman" w:hAnsi="Times New Roman" w:cs="Times New Roman"/>
          <w:sz w:val="24"/>
          <w:szCs w:val="24"/>
        </w:rPr>
      </w:pPr>
      <w:r w:rsidRPr="00347A01">
        <w:rPr>
          <w:rFonts w:ascii="Times New Roman" w:hAnsi="Times New Roman" w:cs="Times New Roman"/>
          <w:sz w:val="24"/>
          <w:szCs w:val="24"/>
        </w:rPr>
        <w:t xml:space="preserve">The </w:t>
      </w:r>
      <w:r w:rsidR="00347190" w:rsidRPr="00347A01">
        <w:rPr>
          <w:rFonts w:ascii="Times New Roman" w:hAnsi="Times New Roman" w:cs="Times New Roman"/>
          <w:sz w:val="24"/>
          <w:szCs w:val="24"/>
        </w:rPr>
        <w:t xml:space="preserve">Student Wellbeing Hub </w:t>
      </w:r>
      <w:r w:rsidRPr="00347A01">
        <w:rPr>
          <w:rFonts w:ascii="Times New Roman" w:hAnsi="Times New Roman" w:cs="Times New Roman"/>
          <w:sz w:val="24"/>
          <w:szCs w:val="24"/>
        </w:rPr>
        <w:t xml:space="preserve">provides a range of information and resources for educators, students and parents to assist them to create and maintain a safe and supportive school environment. The Hub has specific resources on: bullying and how students can be empowered to take action against it; and to assist educators to support </w:t>
      </w:r>
      <w:r w:rsidR="00D365EC" w:rsidRPr="00347A01">
        <w:rPr>
          <w:rFonts w:ascii="Times New Roman" w:hAnsi="Times New Roman" w:cs="Times New Roman"/>
          <w:sz w:val="24"/>
          <w:szCs w:val="24"/>
        </w:rPr>
        <w:t xml:space="preserve">autistic </w:t>
      </w:r>
      <w:r w:rsidRPr="00347A01">
        <w:rPr>
          <w:rFonts w:ascii="Times New Roman" w:hAnsi="Times New Roman" w:cs="Times New Roman"/>
          <w:sz w:val="24"/>
          <w:szCs w:val="24"/>
        </w:rPr>
        <w:t>students to develop positive relationships and express their feelings.</w:t>
      </w:r>
    </w:p>
    <w:p w14:paraId="325D5774" w14:textId="2987CE52" w:rsidR="0067046D" w:rsidRPr="00347A01" w:rsidRDefault="0067046D" w:rsidP="00347A01">
      <w:pPr>
        <w:pStyle w:val="ListParagraph"/>
        <w:numPr>
          <w:ilvl w:val="0"/>
          <w:numId w:val="7"/>
        </w:numPr>
        <w:spacing w:after="0" w:line="240" w:lineRule="auto"/>
        <w:ind w:left="714" w:hanging="357"/>
        <w:rPr>
          <w:rFonts w:ascii="Times New Roman" w:hAnsi="Times New Roman" w:cs="Times New Roman"/>
          <w:sz w:val="24"/>
          <w:szCs w:val="24"/>
        </w:rPr>
      </w:pPr>
      <w:r w:rsidRPr="00347A01">
        <w:rPr>
          <w:rFonts w:ascii="Times New Roman" w:hAnsi="Times New Roman" w:cs="Times New Roman"/>
          <w:sz w:val="24"/>
          <w:szCs w:val="24"/>
        </w:rPr>
        <w:t xml:space="preserve">The </w:t>
      </w:r>
      <w:hyperlink r:id="rId16" w:history="1">
        <w:r w:rsidRPr="00347A01">
          <w:rPr>
            <w:rFonts w:ascii="Times New Roman" w:hAnsi="Times New Roman" w:cs="Times New Roman"/>
            <w:sz w:val="24"/>
            <w:szCs w:val="24"/>
          </w:rPr>
          <w:t>Bullying. No Way!</w:t>
        </w:r>
      </w:hyperlink>
      <w:r w:rsidR="00B76803">
        <w:rPr>
          <w:rFonts w:ascii="Times New Roman" w:hAnsi="Times New Roman" w:cs="Times New Roman"/>
          <w:sz w:val="24"/>
          <w:szCs w:val="24"/>
        </w:rPr>
        <w:t xml:space="preserve"> </w:t>
      </w:r>
      <w:r w:rsidRPr="00347A01">
        <w:rPr>
          <w:rFonts w:ascii="Times New Roman" w:hAnsi="Times New Roman" w:cs="Times New Roman"/>
          <w:sz w:val="24"/>
          <w:szCs w:val="24"/>
        </w:rPr>
        <w:t>website supports school communities with evidence</w:t>
      </w:r>
      <w:r w:rsidRPr="00347A01">
        <w:rPr>
          <w:rFonts w:ascii="Times New Roman" w:hAnsi="Times New Roman" w:cs="Times New Roman"/>
          <w:sz w:val="24"/>
          <w:szCs w:val="24"/>
        </w:rPr>
        <w:noBreakHyphen/>
        <w:t>informed resources and activities for a proactive approach to bullying education and prevention.</w:t>
      </w:r>
    </w:p>
    <w:p w14:paraId="4D57C52B" w14:textId="711BC828" w:rsidR="009C20F0" w:rsidRDefault="0067046D" w:rsidP="00B135C3">
      <w:pPr>
        <w:pStyle w:val="ListParagraph"/>
        <w:numPr>
          <w:ilvl w:val="0"/>
          <w:numId w:val="7"/>
        </w:numPr>
        <w:spacing w:after="0" w:line="240" w:lineRule="auto"/>
        <w:ind w:left="714" w:hanging="357"/>
        <w:rPr>
          <w:rFonts w:ascii="Times New Roman" w:hAnsi="Times New Roman" w:cs="Times New Roman"/>
          <w:sz w:val="24"/>
          <w:szCs w:val="24"/>
        </w:rPr>
      </w:pPr>
      <w:r w:rsidRPr="00347A01">
        <w:rPr>
          <w:rFonts w:ascii="Times New Roman" w:hAnsi="Times New Roman" w:cs="Times New Roman"/>
          <w:sz w:val="24"/>
          <w:szCs w:val="24"/>
        </w:rPr>
        <w:t xml:space="preserve">The </w:t>
      </w:r>
      <w:hyperlink r:id="rId17" w:history="1">
        <w:r w:rsidR="00B76803">
          <w:rPr>
            <w:rFonts w:ascii="Times New Roman" w:hAnsi="Times New Roman" w:cs="Times New Roman"/>
            <w:sz w:val="24"/>
            <w:szCs w:val="24"/>
          </w:rPr>
          <w:t xml:space="preserve">National Day of Action </w:t>
        </w:r>
        <w:r w:rsidRPr="00347A01">
          <w:rPr>
            <w:rFonts w:ascii="Times New Roman" w:hAnsi="Times New Roman" w:cs="Times New Roman"/>
            <w:sz w:val="24"/>
            <w:szCs w:val="24"/>
          </w:rPr>
          <w:t>against Bullying and Violence</w:t>
        </w:r>
      </w:hyperlink>
      <w:r w:rsidR="00B76803">
        <w:rPr>
          <w:rFonts w:ascii="Times New Roman" w:hAnsi="Times New Roman" w:cs="Times New Roman"/>
          <w:sz w:val="24"/>
          <w:szCs w:val="24"/>
        </w:rPr>
        <w:t>, held on the third Friday of </w:t>
      </w:r>
      <w:r w:rsidRPr="00347A01">
        <w:rPr>
          <w:rFonts w:ascii="Times New Roman" w:hAnsi="Times New Roman" w:cs="Times New Roman"/>
          <w:sz w:val="24"/>
          <w:szCs w:val="24"/>
        </w:rPr>
        <w:t xml:space="preserve">March each year, is an opportunity for Australian schools to build and highlight their everyday work to counter bullying and violence. </w:t>
      </w:r>
    </w:p>
    <w:p w14:paraId="70E3E02B" w14:textId="33D2F4F2" w:rsidR="0067046D" w:rsidRPr="009C20F0" w:rsidRDefault="009C20F0" w:rsidP="009C20F0">
      <w:pPr>
        <w:spacing w:after="160" w:line="259" w:lineRule="auto"/>
        <w:rPr>
          <w:rFonts w:eastAsiaTheme="minorHAnsi"/>
        </w:rPr>
      </w:pPr>
      <w:r>
        <w:br w:type="page"/>
      </w:r>
    </w:p>
    <w:p w14:paraId="50ABA062" w14:textId="5EEC1A74" w:rsidR="0067046D" w:rsidRPr="00347A01" w:rsidRDefault="0067046D" w:rsidP="00347A01">
      <w:pPr>
        <w:pStyle w:val="ListParagraph"/>
        <w:numPr>
          <w:ilvl w:val="0"/>
          <w:numId w:val="7"/>
        </w:numPr>
        <w:spacing w:after="0" w:line="240" w:lineRule="auto"/>
        <w:ind w:left="714" w:hanging="357"/>
        <w:rPr>
          <w:rFonts w:ascii="Times New Roman" w:hAnsi="Times New Roman" w:cs="Times New Roman"/>
          <w:sz w:val="24"/>
          <w:szCs w:val="24"/>
        </w:rPr>
      </w:pPr>
      <w:bookmarkStart w:id="0" w:name="_Hlk101965398"/>
      <w:r w:rsidRPr="00347A01">
        <w:rPr>
          <w:rFonts w:ascii="Times New Roman" w:hAnsi="Times New Roman" w:cs="Times New Roman"/>
          <w:sz w:val="24"/>
          <w:szCs w:val="24"/>
        </w:rPr>
        <w:lastRenderedPageBreak/>
        <w:t xml:space="preserve">The nationally agreed Foundation to Year 10 </w:t>
      </w:r>
      <w:r w:rsidRPr="00FC51B6">
        <w:rPr>
          <w:rFonts w:ascii="Times New Roman" w:hAnsi="Times New Roman" w:cs="Times New Roman"/>
          <w:sz w:val="24"/>
          <w:szCs w:val="24"/>
        </w:rPr>
        <w:t>Australian Curriculum</w:t>
      </w:r>
      <w:r w:rsidR="00B76803">
        <w:rPr>
          <w:rFonts w:ascii="Times New Roman" w:hAnsi="Times New Roman" w:cs="Times New Roman"/>
          <w:sz w:val="24"/>
          <w:szCs w:val="24"/>
        </w:rPr>
        <w:t xml:space="preserve"> (curriculum) endorsed by all education m</w:t>
      </w:r>
      <w:r w:rsidRPr="00347A01">
        <w:rPr>
          <w:rFonts w:ascii="Times New Roman" w:hAnsi="Times New Roman" w:cs="Times New Roman"/>
          <w:sz w:val="24"/>
          <w:szCs w:val="24"/>
        </w:rPr>
        <w:t xml:space="preserve">inisters, sets the expectations for what all Australian students should be taught, regardless of their background or where they live. </w:t>
      </w:r>
      <w:r w:rsidR="00347A01">
        <w:rPr>
          <w:rFonts w:ascii="Times New Roman" w:hAnsi="Times New Roman" w:cs="Times New Roman"/>
          <w:sz w:val="24"/>
          <w:szCs w:val="24"/>
        </w:rPr>
        <w:t>The </w:t>
      </w:r>
      <w:r w:rsidRPr="00347A01">
        <w:rPr>
          <w:rFonts w:ascii="Times New Roman" w:hAnsi="Times New Roman" w:cs="Times New Roman"/>
          <w:sz w:val="24"/>
          <w:szCs w:val="24"/>
        </w:rPr>
        <w:t>curricu</w:t>
      </w:r>
      <w:r w:rsidR="00347A01">
        <w:rPr>
          <w:rFonts w:ascii="Times New Roman" w:hAnsi="Times New Roman" w:cs="Times New Roman"/>
          <w:sz w:val="24"/>
          <w:szCs w:val="24"/>
        </w:rPr>
        <w:t xml:space="preserve">lum also addresses cyber safety. </w:t>
      </w:r>
      <w:r w:rsidRPr="00347A01">
        <w:rPr>
          <w:rFonts w:ascii="Times New Roman" w:hAnsi="Times New Roman" w:cs="Times New Roman"/>
          <w:sz w:val="24"/>
          <w:szCs w:val="24"/>
        </w:rPr>
        <w:t>State and territory curriculum authorities and school authorities are responsible for the im</w:t>
      </w:r>
      <w:r w:rsidR="00347A01">
        <w:rPr>
          <w:rFonts w:ascii="Times New Roman" w:hAnsi="Times New Roman" w:cs="Times New Roman"/>
          <w:sz w:val="24"/>
          <w:szCs w:val="24"/>
        </w:rPr>
        <w:t>plementation of the c</w:t>
      </w:r>
      <w:r w:rsidR="00B76803">
        <w:rPr>
          <w:rFonts w:ascii="Times New Roman" w:hAnsi="Times New Roman" w:cs="Times New Roman"/>
          <w:sz w:val="24"/>
          <w:szCs w:val="24"/>
        </w:rPr>
        <w:t>urriculum in </w:t>
      </w:r>
      <w:r w:rsidRPr="00347A01">
        <w:rPr>
          <w:rFonts w:ascii="Times New Roman" w:hAnsi="Times New Roman" w:cs="Times New Roman"/>
          <w:sz w:val="24"/>
          <w:szCs w:val="24"/>
        </w:rPr>
        <w:t>their schools, and are able to adopt and adapt the curriculum to meet student and community needs.</w:t>
      </w:r>
      <w:bookmarkEnd w:id="0"/>
    </w:p>
    <w:p w14:paraId="75B42CF6" w14:textId="363DB471" w:rsidR="005B12EF" w:rsidRDefault="0067046D" w:rsidP="00347A01">
      <w:pPr>
        <w:pStyle w:val="ListParagraph"/>
        <w:numPr>
          <w:ilvl w:val="0"/>
          <w:numId w:val="7"/>
        </w:numPr>
        <w:spacing w:after="0" w:line="240" w:lineRule="auto"/>
        <w:ind w:left="714" w:hanging="357"/>
        <w:rPr>
          <w:rFonts w:ascii="Times New Roman" w:hAnsi="Times New Roman" w:cs="Times New Roman"/>
          <w:sz w:val="24"/>
          <w:szCs w:val="24"/>
        </w:rPr>
      </w:pPr>
      <w:r w:rsidRPr="00347A01">
        <w:rPr>
          <w:rFonts w:ascii="Times New Roman" w:hAnsi="Times New Roman" w:cs="Times New Roman"/>
          <w:sz w:val="24"/>
          <w:szCs w:val="24"/>
        </w:rPr>
        <w:t xml:space="preserve">The </w:t>
      </w:r>
      <w:r w:rsidR="00B62FDB" w:rsidRPr="00347A01">
        <w:rPr>
          <w:rFonts w:ascii="Times New Roman" w:hAnsi="Times New Roman" w:cs="Times New Roman"/>
          <w:sz w:val="24"/>
          <w:szCs w:val="24"/>
        </w:rPr>
        <w:t xml:space="preserve">Australian </w:t>
      </w:r>
      <w:r w:rsidRPr="00347A01">
        <w:rPr>
          <w:rFonts w:ascii="Times New Roman" w:hAnsi="Times New Roman" w:cs="Times New Roman"/>
          <w:sz w:val="24"/>
          <w:szCs w:val="24"/>
        </w:rPr>
        <w:t xml:space="preserve">Government has appointed an </w:t>
      </w:r>
      <w:r w:rsidRPr="00FC51B6">
        <w:rPr>
          <w:rFonts w:ascii="Times New Roman" w:hAnsi="Times New Roman" w:cs="Times New Roman"/>
          <w:sz w:val="24"/>
          <w:szCs w:val="24"/>
        </w:rPr>
        <w:t>eSafety Commissioner</w:t>
      </w:r>
      <w:r w:rsidR="00432D8A">
        <w:rPr>
          <w:rFonts w:ascii="Times New Roman" w:hAnsi="Times New Roman" w:cs="Times New Roman"/>
          <w:sz w:val="24"/>
          <w:szCs w:val="24"/>
        </w:rPr>
        <w:t>. The eSafety </w:t>
      </w:r>
      <w:r w:rsidRPr="00347A01">
        <w:rPr>
          <w:rFonts w:ascii="Times New Roman" w:hAnsi="Times New Roman" w:cs="Times New Roman"/>
          <w:sz w:val="24"/>
          <w:szCs w:val="24"/>
        </w:rPr>
        <w:t xml:space="preserve">Commissioner’s website provides information about cyberbullying and fact sheets on how people can assist themselves and others who may be cyberbullied. The eSafety Commissioner also investigates complaints about cyberbullying and can assist in having content removed from social media sites. </w:t>
      </w:r>
    </w:p>
    <w:p w14:paraId="1CD7DFB0" w14:textId="77777777" w:rsidR="005B12EF" w:rsidRDefault="0067046D" w:rsidP="00347A01">
      <w:pPr>
        <w:pStyle w:val="ListParagraph"/>
        <w:numPr>
          <w:ilvl w:val="0"/>
          <w:numId w:val="7"/>
        </w:numPr>
        <w:spacing w:after="0" w:line="240" w:lineRule="auto"/>
        <w:ind w:left="714" w:hanging="357"/>
        <w:rPr>
          <w:rFonts w:ascii="Times New Roman" w:hAnsi="Times New Roman" w:cs="Times New Roman"/>
          <w:sz w:val="24"/>
          <w:szCs w:val="24"/>
        </w:rPr>
      </w:pPr>
      <w:r w:rsidRPr="00172F92">
        <w:rPr>
          <w:rFonts w:ascii="Times New Roman" w:hAnsi="Times New Roman" w:cs="Times New Roman"/>
          <w:sz w:val="24"/>
          <w:szCs w:val="24"/>
        </w:rPr>
        <w:t>The National School Chaplaincy Program (NSCP) chaplains work in collaboration with around 3,000 school communities per year to support the wellbeing of school students through the provision of pastoral care, run</w:t>
      </w:r>
      <w:r w:rsidR="00432D8A">
        <w:rPr>
          <w:rFonts w:ascii="Times New Roman" w:hAnsi="Times New Roman" w:cs="Times New Roman"/>
          <w:sz w:val="24"/>
          <w:szCs w:val="24"/>
        </w:rPr>
        <w:t>ning programs such as breakfast </w:t>
      </w:r>
      <w:r w:rsidRPr="00172F92">
        <w:rPr>
          <w:rFonts w:ascii="Times New Roman" w:hAnsi="Times New Roman" w:cs="Times New Roman"/>
          <w:sz w:val="24"/>
          <w:szCs w:val="24"/>
        </w:rPr>
        <w:t>clubs and coordinating volunteer activities within the school community.</w:t>
      </w:r>
    </w:p>
    <w:p w14:paraId="203ECE8E" w14:textId="42066CD9" w:rsidR="00806D3C" w:rsidRPr="00C9043B" w:rsidRDefault="008C2174" w:rsidP="00C9043B">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5B12EF">
        <w:rPr>
          <w:rFonts w:ascii="Times New Roman" w:hAnsi="Times New Roman" w:cs="Times New Roman"/>
          <w:sz w:val="24"/>
          <w:szCs w:val="24"/>
        </w:rPr>
        <w:t xml:space="preserve">The Department of Education </w:t>
      </w:r>
      <w:r w:rsidR="0067046D" w:rsidRPr="005B12EF">
        <w:rPr>
          <w:rFonts w:ascii="Times New Roman" w:hAnsi="Times New Roman" w:cs="Times New Roman"/>
          <w:sz w:val="24"/>
          <w:szCs w:val="24"/>
        </w:rPr>
        <w:t xml:space="preserve">works in partnership with the </w:t>
      </w:r>
      <w:r w:rsidR="00432D8A" w:rsidRPr="005B12EF">
        <w:rPr>
          <w:rFonts w:ascii="Times New Roman" w:hAnsi="Times New Roman" w:cs="Times New Roman"/>
          <w:sz w:val="24"/>
          <w:szCs w:val="24"/>
        </w:rPr>
        <w:t>eSafety Commissioner to </w:t>
      </w:r>
      <w:r w:rsidR="0067046D" w:rsidRPr="005B12EF">
        <w:rPr>
          <w:rFonts w:ascii="Times New Roman" w:hAnsi="Times New Roman" w:cs="Times New Roman"/>
          <w:sz w:val="24"/>
          <w:szCs w:val="24"/>
        </w:rPr>
        <w:t xml:space="preserve">deliver an online cyberbullying professional learning package for NSCP chaplains. </w:t>
      </w:r>
      <w:bookmarkStart w:id="1" w:name="_Hlk102481872"/>
      <w:bookmarkStart w:id="2" w:name="_Hlk102477967"/>
    </w:p>
    <w:tbl>
      <w:tblPr>
        <w:tblStyle w:val="TableGrid"/>
        <w:tblW w:w="0" w:type="auto"/>
        <w:tblLook w:val="04A0" w:firstRow="1" w:lastRow="0" w:firstColumn="1" w:lastColumn="0" w:noHBand="0" w:noVBand="1"/>
        <w:tblDescription w:val="Decorative"/>
      </w:tblPr>
      <w:tblGrid>
        <w:gridCol w:w="9016"/>
      </w:tblGrid>
      <w:tr w:rsidR="009C20F0" w14:paraId="2CF2EE1F" w14:textId="77777777" w:rsidTr="009C20F0">
        <w:tc>
          <w:tcPr>
            <w:tcW w:w="9016" w:type="dxa"/>
          </w:tcPr>
          <w:p w14:paraId="43966F98" w14:textId="77777777" w:rsidR="009C20F0" w:rsidRPr="009C20F0" w:rsidRDefault="009C20F0" w:rsidP="009C20F0">
            <w:pPr>
              <w:spacing w:before="1" w:line="276" w:lineRule="auto"/>
              <w:jc w:val="both"/>
              <w:rPr>
                <w:b/>
              </w:rPr>
            </w:pPr>
            <w:r w:rsidRPr="009C20F0">
              <w:rPr>
                <w:b/>
              </w:rPr>
              <w:t>Recommendation 48</w:t>
            </w:r>
          </w:p>
          <w:p w14:paraId="54647540" w14:textId="7D43FBC6" w:rsidR="009C20F0" w:rsidRDefault="009C20F0" w:rsidP="009C20F0">
            <w:pPr>
              <w:rPr>
                <w:b/>
              </w:rPr>
            </w:pPr>
            <w:r w:rsidRPr="00087DA3">
              <w:t>The committee recommends that the Education Ministers Meeting develop and implement a framework for regularly monitoring and publicly reporting on education outcomes for students with disability from 2023. This should include monitoring and reporting on outcomes for autistic students as a separate cohort and should be informed by consultation with the taskforce established to develop the National Autism Strategy.</w:t>
            </w:r>
          </w:p>
        </w:tc>
      </w:tr>
    </w:tbl>
    <w:p w14:paraId="1A463A22" w14:textId="77777777" w:rsidR="009C20F0" w:rsidRPr="00C9043B" w:rsidRDefault="009C20F0" w:rsidP="00806D3C"/>
    <w:p w14:paraId="25760589" w14:textId="683F5C82" w:rsidR="00806D3C" w:rsidRPr="00806D3C" w:rsidRDefault="00BE3458" w:rsidP="00806D3C">
      <w:pPr>
        <w:rPr>
          <w:b/>
          <w:bCs/>
        </w:rPr>
      </w:pPr>
      <w:r>
        <w:rPr>
          <w:b/>
          <w:bCs/>
        </w:rPr>
        <w:t>Support</w:t>
      </w:r>
      <w:r w:rsidR="0078202A">
        <w:rPr>
          <w:b/>
          <w:bCs/>
        </w:rPr>
        <w:t>ed</w:t>
      </w:r>
      <w:r w:rsidR="00806D3C" w:rsidRPr="00806D3C">
        <w:rPr>
          <w:b/>
          <w:bCs/>
        </w:rPr>
        <w:t xml:space="preserve"> in principle</w:t>
      </w:r>
    </w:p>
    <w:p w14:paraId="48C6F8CE" w14:textId="713A6FFB" w:rsidR="006A1CA5" w:rsidRDefault="00806D3C" w:rsidP="00C9043B">
      <w:pPr>
        <w:spacing w:after="240"/>
        <w:ind w:right="717"/>
      </w:pPr>
      <w:r w:rsidRPr="00806D3C">
        <w:t xml:space="preserve">Collecting and reporting student outcomes data is a matter for state and territory governments. Once the </w:t>
      </w:r>
      <w:r w:rsidR="0078202A">
        <w:rPr>
          <w:shd w:val="clear" w:color="auto" w:fill="FFFFFF"/>
        </w:rPr>
        <w:t xml:space="preserve">forum to drive development of a National Autism Strategy </w:t>
      </w:r>
      <w:r w:rsidR="00205709">
        <w:rPr>
          <w:shd w:val="clear" w:color="auto" w:fill="FFFFFF"/>
        </w:rPr>
        <w:t>is </w:t>
      </w:r>
      <w:r w:rsidR="009771FB">
        <w:rPr>
          <w:shd w:val="clear" w:color="auto" w:fill="FFFFFF"/>
        </w:rPr>
        <w:t>chosen (R</w:t>
      </w:r>
      <w:r w:rsidRPr="00806D3C">
        <w:rPr>
          <w:shd w:val="clear" w:color="auto" w:fill="FFFFFF"/>
        </w:rPr>
        <w:t>ecommendation 2</w:t>
      </w:r>
      <w:r w:rsidR="00B135C3">
        <w:rPr>
          <w:shd w:val="clear" w:color="auto" w:fill="FFFFFF"/>
        </w:rPr>
        <w:t xml:space="preserve"> refers</w:t>
      </w:r>
      <w:r w:rsidRPr="00806D3C">
        <w:rPr>
          <w:shd w:val="clear" w:color="auto" w:fill="FFFFFF"/>
        </w:rPr>
        <w:t>)</w:t>
      </w:r>
      <w:r w:rsidRPr="00806D3C">
        <w:t xml:space="preserve">, </w:t>
      </w:r>
      <w:r w:rsidR="008C2174">
        <w:t>the Department of Education</w:t>
      </w:r>
      <w:r w:rsidR="008C2174" w:rsidRPr="00806D3C">
        <w:t xml:space="preserve"> </w:t>
      </w:r>
      <w:r w:rsidRPr="00806D3C">
        <w:t>will consult with the forum on improving monitoring and reporting on ou</w:t>
      </w:r>
      <w:r w:rsidR="00205709">
        <w:t>tcomes for autistic students as </w:t>
      </w:r>
      <w:r w:rsidRPr="00806D3C">
        <w:t>a separate cohort.</w:t>
      </w:r>
    </w:p>
    <w:p w14:paraId="09141DFD" w14:textId="4999F79B" w:rsidR="00806D3C" w:rsidRPr="00806D3C" w:rsidRDefault="00806D3C" w:rsidP="00C9043B">
      <w:pPr>
        <w:spacing w:after="240"/>
        <w:ind w:right="717"/>
      </w:pPr>
      <w:r w:rsidRPr="00205709">
        <w:t xml:space="preserve">The </w:t>
      </w:r>
      <w:r w:rsidR="00B62FDB" w:rsidRPr="00205709">
        <w:t>Australian</w:t>
      </w:r>
      <w:r w:rsidR="00B62FDB" w:rsidRPr="00205709" w:rsidDel="009771FB">
        <w:t xml:space="preserve"> </w:t>
      </w:r>
      <w:r w:rsidRPr="00205709">
        <w:t>Government has a strong transpar</w:t>
      </w:r>
      <w:r w:rsidR="00205709" w:rsidRPr="00205709">
        <w:t>ency agenda in education and is </w:t>
      </w:r>
      <w:r w:rsidRPr="00205709">
        <w:t>working to improve public accountability and reporting on student outcomes through national polic</w:t>
      </w:r>
      <w:r w:rsidR="0078202A" w:rsidRPr="00205709">
        <w:t>ies and frameworks including</w:t>
      </w:r>
      <w:r w:rsidRPr="00205709">
        <w:t>:</w:t>
      </w:r>
    </w:p>
    <w:p w14:paraId="74377B50" w14:textId="20885094" w:rsidR="00B135C3" w:rsidRPr="001D0442" w:rsidRDefault="0078202A" w:rsidP="00C9043B">
      <w:pPr>
        <w:pStyle w:val="ListParagraph"/>
        <w:numPr>
          <w:ilvl w:val="0"/>
          <w:numId w:val="7"/>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R</w:t>
      </w:r>
      <w:r w:rsidR="00806D3C" w:rsidRPr="00806D3C">
        <w:rPr>
          <w:rFonts w:ascii="Times New Roman" w:hAnsi="Times New Roman" w:cs="Times New Roman"/>
          <w:sz w:val="24"/>
          <w:szCs w:val="24"/>
        </w:rPr>
        <w:t xml:space="preserve">eporting commitments in the </w:t>
      </w:r>
      <w:r w:rsidR="00806D3C" w:rsidRPr="0078202A">
        <w:rPr>
          <w:rFonts w:ascii="Times New Roman" w:hAnsi="Times New Roman" w:cs="Times New Roman"/>
          <w:sz w:val="24"/>
          <w:szCs w:val="24"/>
        </w:rPr>
        <w:t>Alice Springs (Mparntwe) Education Declaration</w:t>
      </w:r>
      <w:r>
        <w:rPr>
          <w:rFonts w:ascii="Times New Roman" w:hAnsi="Times New Roman" w:cs="Times New Roman"/>
          <w:sz w:val="24"/>
          <w:szCs w:val="24"/>
        </w:rPr>
        <w:t>.</w:t>
      </w:r>
    </w:p>
    <w:p w14:paraId="3745F739" w14:textId="047D0499" w:rsidR="00B135C3" w:rsidRPr="001D0442" w:rsidRDefault="0078202A" w:rsidP="0078202A">
      <w:pPr>
        <w:pStyle w:val="ListParagraph"/>
        <w:numPr>
          <w:ilvl w:val="0"/>
          <w:numId w:val="7"/>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I</w:t>
      </w:r>
      <w:r w:rsidR="00806D3C" w:rsidRPr="0078202A">
        <w:rPr>
          <w:rFonts w:ascii="Times New Roman" w:hAnsi="Times New Roman" w:cs="Times New Roman"/>
          <w:sz w:val="24"/>
          <w:szCs w:val="24"/>
        </w:rPr>
        <w:t xml:space="preserve">ncorporating outcomes for students with disability into broader work on national performance reporting as part of the </w:t>
      </w:r>
      <w:r w:rsidR="00806D3C" w:rsidRPr="005F6084">
        <w:rPr>
          <w:rFonts w:ascii="Times New Roman" w:hAnsi="Times New Roman" w:cs="Times New Roman"/>
          <w:sz w:val="24"/>
          <w:szCs w:val="24"/>
        </w:rPr>
        <w:t>Measure</w:t>
      </w:r>
      <w:r w:rsidR="00004F6C">
        <w:rPr>
          <w:rFonts w:ascii="Times New Roman" w:hAnsi="Times New Roman" w:cs="Times New Roman"/>
          <w:sz w:val="24"/>
          <w:szCs w:val="24"/>
        </w:rPr>
        <w:t>ment Framework for Schooling in </w:t>
      </w:r>
      <w:r w:rsidR="00806D3C" w:rsidRPr="005F6084">
        <w:rPr>
          <w:rFonts w:ascii="Times New Roman" w:hAnsi="Times New Roman" w:cs="Times New Roman"/>
          <w:sz w:val="24"/>
          <w:szCs w:val="24"/>
        </w:rPr>
        <w:t>Australia</w:t>
      </w:r>
      <w:r>
        <w:rPr>
          <w:rFonts w:ascii="Times New Roman" w:hAnsi="Times New Roman" w:cs="Times New Roman"/>
          <w:sz w:val="24"/>
          <w:szCs w:val="24"/>
        </w:rPr>
        <w:t>.</w:t>
      </w:r>
    </w:p>
    <w:p w14:paraId="2D32E2ED" w14:textId="77777777" w:rsidR="00064003" w:rsidRDefault="00806D3C" w:rsidP="0078202A">
      <w:pPr>
        <w:pStyle w:val="ListParagraph"/>
        <w:numPr>
          <w:ilvl w:val="0"/>
          <w:numId w:val="7"/>
        </w:numPr>
        <w:spacing w:after="0" w:line="240" w:lineRule="auto"/>
        <w:ind w:left="714" w:hanging="357"/>
        <w:rPr>
          <w:rFonts w:ascii="Times New Roman" w:hAnsi="Times New Roman" w:cs="Times New Roman"/>
          <w:sz w:val="24"/>
          <w:szCs w:val="24"/>
        </w:rPr>
      </w:pPr>
      <w:r w:rsidRPr="005F6084">
        <w:rPr>
          <w:rFonts w:ascii="Times New Roman" w:hAnsi="Times New Roman" w:cs="Times New Roman"/>
          <w:sz w:val="24"/>
          <w:szCs w:val="24"/>
        </w:rPr>
        <w:t>Australia</w:t>
      </w:r>
      <w:r w:rsidR="00B135C3" w:rsidRPr="005F6084">
        <w:rPr>
          <w:rFonts w:ascii="Times New Roman" w:hAnsi="Times New Roman" w:cs="Times New Roman"/>
          <w:sz w:val="24"/>
          <w:szCs w:val="24"/>
        </w:rPr>
        <w:t>’s</w:t>
      </w:r>
      <w:r w:rsidRPr="005F6084">
        <w:rPr>
          <w:rFonts w:ascii="Times New Roman" w:hAnsi="Times New Roman" w:cs="Times New Roman"/>
          <w:sz w:val="24"/>
          <w:szCs w:val="24"/>
        </w:rPr>
        <w:t xml:space="preserve"> Disability Strategy</w:t>
      </w:r>
      <w:r w:rsidR="00B62FDB">
        <w:rPr>
          <w:rFonts w:ascii="Times New Roman" w:hAnsi="Times New Roman" w:cs="Times New Roman"/>
          <w:sz w:val="24"/>
          <w:szCs w:val="24"/>
        </w:rPr>
        <w:t xml:space="preserve"> which commits g</w:t>
      </w:r>
      <w:r w:rsidRPr="00806D3C">
        <w:rPr>
          <w:rFonts w:ascii="Times New Roman" w:hAnsi="Times New Roman" w:cs="Times New Roman"/>
          <w:sz w:val="24"/>
          <w:szCs w:val="24"/>
        </w:rPr>
        <w:t xml:space="preserve">overnments to collecting </w:t>
      </w:r>
      <w:r w:rsidRPr="009771FB">
        <w:rPr>
          <w:rFonts w:ascii="Times New Roman" w:hAnsi="Times New Roman" w:cs="Times New Roman"/>
          <w:sz w:val="24"/>
          <w:szCs w:val="24"/>
        </w:rPr>
        <w:t>and sharing relevant data to support effective monitoring and reporting of outcomes for people with disability in order to drive change</w:t>
      </w:r>
      <w:r w:rsidR="00064003">
        <w:rPr>
          <w:rFonts w:ascii="Times New Roman" w:hAnsi="Times New Roman" w:cs="Times New Roman"/>
          <w:sz w:val="24"/>
          <w:szCs w:val="24"/>
        </w:rPr>
        <w:t>.</w:t>
      </w:r>
    </w:p>
    <w:p w14:paraId="4EDEC8F0" w14:textId="3E74588E" w:rsidR="00806D3C" w:rsidRDefault="00064003" w:rsidP="0078202A">
      <w:pPr>
        <w:pStyle w:val="ListParagraph"/>
        <w:numPr>
          <w:ilvl w:val="0"/>
          <w:numId w:val="7"/>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I</w:t>
      </w:r>
      <w:r w:rsidR="00806D3C" w:rsidRPr="009771FB">
        <w:rPr>
          <w:rFonts w:ascii="Times New Roman" w:hAnsi="Times New Roman" w:cs="Times New Roman"/>
          <w:sz w:val="24"/>
          <w:szCs w:val="24"/>
        </w:rPr>
        <w:t xml:space="preserve">mplementing the recommendation of the 2020 Review of the </w:t>
      </w:r>
      <w:r w:rsidR="00806D3C" w:rsidRPr="008C3398">
        <w:rPr>
          <w:rFonts w:ascii="Times New Roman" w:hAnsi="Times New Roman" w:cs="Times New Roman"/>
          <w:i/>
          <w:sz w:val="24"/>
          <w:szCs w:val="24"/>
        </w:rPr>
        <w:t xml:space="preserve">Disability Standards for Education 2005 </w:t>
      </w:r>
      <w:r w:rsidR="00806D3C" w:rsidRPr="009771FB">
        <w:rPr>
          <w:rFonts w:ascii="Times New Roman" w:hAnsi="Times New Roman" w:cs="Times New Roman"/>
          <w:sz w:val="24"/>
          <w:szCs w:val="24"/>
        </w:rPr>
        <w:t>for states and territories to develop nationally consistent principles and practices on collection and public reporting of data on school students with disability.</w:t>
      </w:r>
      <w:bookmarkEnd w:id="1"/>
      <w:bookmarkEnd w:id="2"/>
    </w:p>
    <w:p w14:paraId="78DB5624" w14:textId="271BF2D9" w:rsidR="00F52A3D" w:rsidRPr="00C9043B" w:rsidRDefault="005B12EF" w:rsidP="00C9043B">
      <w:pPr>
        <w:spacing w:after="160" w:line="259" w:lineRule="auto"/>
        <w:rPr>
          <w:rFonts w:eastAsiaTheme="minorHAnsi"/>
        </w:rPr>
      </w:pPr>
      <w:r>
        <w:br w:type="page"/>
      </w:r>
    </w:p>
    <w:tbl>
      <w:tblPr>
        <w:tblStyle w:val="TableGrid"/>
        <w:tblW w:w="0" w:type="auto"/>
        <w:tblLook w:val="04A0" w:firstRow="1" w:lastRow="0" w:firstColumn="1" w:lastColumn="0" w:noHBand="0" w:noVBand="1"/>
        <w:tblDescription w:val="Decorative"/>
      </w:tblPr>
      <w:tblGrid>
        <w:gridCol w:w="9016"/>
      </w:tblGrid>
      <w:tr w:rsidR="009C20F0" w14:paraId="753DE063" w14:textId="77777777" w:rsidTr="009C20F0">
        <w:tc>
          <w:tcPr>
            <w:tcW w:w="9016" w:type="dxa"/>
          </w:tcPr>
          <w:p w14:paraId="7E1062A7" w14:textId="77777777" w:rsidR="009C20F0" w:rsidRPr="009C20F0" w:rsidRDefault="009C20F0" w:rsidP="009C20F0">
            <w:pPr>
              <w:spacing w:line="276" w:lineRule="auto"/>
              <w:rPr>
                <w:b/>
              </w:rPr>
            </w:pPr>
            <w:r w:rsidRPr="009C20F0">
              <w:rPr>
                <w:b/>
              </w:rPr>
              <w:lastRenderedPageBreak/>
              <w:t>Recommendation 49</w:t>
            </w:r>
          </w:p>
          <w:p w14:paraId="3E379437" w14:textId="55A596D4" w:rsidR="009C20F0" w:rsidRDefault="009C20F0" w:rsidP="009C20F0">
            <w:pPr>
              <w:rPr>
                <w:b/>
                <w:bCs/>
              </w:rPr>
            </w:pPr>
            <w:r w:rsidRPr="00087DA3">
              <w:t>The committee supports the 2019 recommendation of the National School Resourcing Board in relation to refining the costing model for the students with</w:t>
            </w:r>
            <w:r w:rsidRPr="00087DA3">
              <w:rPr>
                <w:spacing w:val="-12"/>
              </w:rPr>
              <w:t xml:space="preserve"> </w:t>
            </w:r>
            <w:r w:rsidRPr="00087DA3">
              <w:t>disability</w:t>
            </w:r>
            <w:r w:rsidRPr="00087DA3">
              <w:rPr>
                <w:spacing w:val="-9"/>
              </w:rPr>
              <w:t xml:space="preserve"> </w:t>
            </w:r>
            <w:r w:rsidRPr="00087DA3">
              <w:t>loading</w:t>
            </w:r>
            <w:r w:rsidRPr="00087DA3">
              <w:rPr>
                <w:spacing w:val="-11"/>
              </w:rPr>
              <w:t xml:space="preserve"> </w:t>
            </w:r>
            <w:r w:rsidRPr="00087DA3">
              <w:t>to</w:t>
            </w:r>
            <w:r w:rsidRPr="00087DA3">
              <w:rPr>
                <w:spacing w:val="-11"/>
              </w:rPr>
              <w:t xml:space="preserve"> </w:t>
            </w:r>
            <w:r w:rsidRPr="00087DA3">
              <w:t>inform</w:t>
            </w:r>
            <w:r w:rsidRPr="00087DA3">
              <w:rPr>
                <w:spacing w:val="-12"/>
              </w:rPr>
              <w:t xml:space="preserve"> </w:t>
            </w:r>
            <w:r w:rsidRPr="00087DA3">
              <w:t>the</w:t>
            </w:r>
            <w:r w:rsidRPr="00087DA3">
              <w:rPr>
                <w:spacing w:val="-12"/>
              </w:rPr>
              <w:t xml:space="preserve"> </w:t>
            </w:r>
            <w:r w:rsidRPr="00087DA3">
              <w:t>loading</w:t>
            </w:r>
            <w:r w:rsidRPr="00087DA3">
              <w:rPr>
                <w:spacing w:val="-11"/>
              </w:rPr>
              <w:t xml:space="preserve"> </w:t>
            </w:r>
            <w:r w:rsidRPr="00087DA3">
              <w:t>settings</w:t>
            </w:r>
            <w:r w:rsidRPr="00087DA3">
              <w:rPr>
                <w:spacing w:val="-13"/>
              </w:rPr>
              <w:t xml:space="preserve"> </w:t>
            </w:r>
            <w:r w:rsidRPr="00087DA3">
              <w:t>from</w:t>
            </w:r>
            <w:r w:rsidRPr="00087DA3">
              <w:rPr>
                <w:spacing w:val="-11"/>
              </w:rPr>
              <w:t xml:space="preserve"> </w:t>
            </w:r>
            <w:r w:rsidRPr="00087DA3">
              <w:t>2023.</w:t>
            </w:r>
            <w:r w:rsidRPr="00087DA3">
              <w:rPr>
                <w:spacing w:val="-12"/>
              </w:rPr>
              <w:t xml:space="preserve"> </w:t>
            </w:r>
            <w:r w:rsidRPr="00087DA3">
              <w:t>Accordingly, the</w:t>
            </w:r>
            <w:r w:rsidRPr="00087DA3">
              <w:rPr>
                <w:spacing w:val="-10"/>
              </w:rPr>
              <w:t xml:space="preserve"> </w:t>
            </w:r>
            <w:r w:rsidRPr="00087DA3">
              <w:t>committee</w:t>
            </w:r>
            <w:r w:rsidRPr="00087DA3">
              <w:rPr>
                <w:spacing w:val="-9"/>
              </w:rPr>
              <w:t xml:space="preserve"> </w:t>
            </w:r>
            <w:r w:rsidRPr="00087DA3">
              <w:t>recommends</w:t>
            </w:r>
            <w:r w:rsidRPr="00087DA3">
              <w:rPr>
                <w:spacing w:val="-10"/>
              </w:rPr>
              <w:t xml:space="preserve"> </w:t>
            </w:r>
            <w:r w:rsidRPr="00087DA3">
              <w:t>that</w:t>
            </w:r>
            <w:r w:rsidRPr="00087DA3">
              <w:rPr>
                <w:spacing w:val="-10"/>
              </w:rPr>
              <w:t xml:space="preserve"> </w:t>
            </w:r>
            <w:r w:rsidRPr="00087DA3">
              <w:t>implementation</w:t>
            </w:r>
            <w:r w:rsidRPr="00087DA3">
              <w:rPr>
                <w:spacing w:val="-9"/>
              </w:rPr>
              <w:t xml:space="preserve"> </w:t>
            </w:r>
            <w:r w:rsidRPr="00087DA3">
              <w:t>of</w:t>
            </w:r>
            <w:r w:rsidRPr="00087DA3">
              <w:rPr>
                <w:spacing w:val="-8"/>
              </w:rPr>
              <w:t xml:space="preserve"> </w:t>
            </w:r>
            <w:r w:rsidRPr="00087DA3">
              <w:t>the</w:t>
            </w:r>
            <w:r w:rsidRPr="00087DA3">
              <w:rPr>
                <w:spacing w:val="-7"/>
              </w:rPr>
              <w:t xml:space="preserve"> </w:t>
            </w:r>
            <w:r w:rsidRPr="00087DA3">
              <w:t>new</w:t>
            </w:r>
            <w:r w:rsidRPr="00087DA3">
              <w:rPr>
                <w:spacing w:val="-7"/>
              </w:rPr>
              <w:t xml:space="preserve"> </w:t>
            </w:r>
            <w:r w:rsidRPr="00087DA3">
              <w:t>costing</w:t>
            </w:r>
            <w:r w:rsidRPr="00087DA3">
              <w:rPr>
                <w:spacing w:val="-8"/>
              </w:rPr>
              <w:t xml:space="preserve"> </w:t>
            </w:r>
            <w:r w:rsidRPr="00087DA3">
              <w:t>model</w:t>
            </w:r>
            <w:r w:rsidRPr="00087DA3">
              <w:rPr>
                <w:spacing w:val="-10"/>
              </w:rPr>
              <w:t xml:space="preserve"> </w:t>
            </w:r>
            <w:r w:rsidRPr="00087DA3">
              <w:t>be accompanied by stronger accountability measures requiring government</w:t>
            </w:r>
            <w:r w:rsidRPr="00087DA3">
              <w:rPr>
                <w:spacing w:val="-25"/>
              </w:rPr>
              <w:t xml:space="preserve"> </w:t>
            </w:r>
            <w:r w:rsidRPr="00087DA3">
              <w:t>and non-government education authorities to demonstrate that schools are receiving adequate funds to meet the needs of students with disability— including autistic students.</w:t>
            </w:r>
          </w:p>
        </w:tc>
      </w:tr>
    </w:tbl>
    <w:p w14:paraId="270D80B6" w14:textId="77777777" w:rsidR="009C20F0" w:rsidRPr="00C9043B" w:rsidRDefault="009C20F0" w:rsidP="005C605E">
      <w:pPr>
        <w:rPr>
          <w:bCs/>
        </w:rPr>
      </w:pPr>
    </w:p>
    <w:p w14:paraId="3B0A09F2" w14:textId="46BA6C58" w:rsidR="005C605E" w:rsidRPr="005C605E" w:rsidRDefault="005C605E" w:rsidP="005C605E">
      <w:pPr>
        <w:rPr>
          <w:b/>
          <w:bCs/>
          <w:sz w:val="22"/>
          <w:szCs w:val="22"/>
        </w:rPr>
      </w:pPr>
      <w:r w:rsidRPr="005C605E">
        <w:rPr>
          <w:b/>
          <w:bCs/>
        </w:rPr>
        <w:t xml:space="preserve">Noted </w:t>
      </w:r>
    </w:p>
    <w:p w14:paraId="5B7EC18E" w14:textId="23D32051" w:rsidR="00C45E42" w:rsidRDefault="005C605E" w:rsidP="00C9043B">
      <w:pPr>
        <w:spacing w:after="240"/>
      </w:pPr>
      <w:r w:rsidRPr="005C605E">
        <w:t>The 2019 National School Resourcing Board</w:t>
      </w:r>
      <w:r w:rsidR="009771FB">
        <w:t xml:space="preserve"> (the Board)</w:t>
      </w:r>
      <w:r w:rsidR="00FB358E">
        <w:t xml:space="preserve"> r</w:t>
      </w:r>
      <w:r w:rsidRPr="005C605E">
        <w:t xml:space="preserve">eview of the loading for students with disability made eight recommendations. On 2 July 2020, the </w:t>
      </w:r>
      <w:r w:rsidR="00B62FDB">
        <w:t>Australian</w:t>
      </w:r>
      <w:r w:rsidR="00B62FDB" w:rsidRPr="005C605E" w:rsidDel="009771FB">
        <w:t xml:space="preserve"> </w:t>
      </w:r>
      <w:r w:rsidRPr="005C605E">
        <w:t>Government released its response to the Board’s review, agreeing t</w:t>
      </w:r>
      <w:r w:rsidR="008C3398">
        <w:t>o the Board’s recommendation in </w:t>
      </w:r>
      <w:r w:rsidRPr="005C605E">
        <w:t xml:space="preserve">relation to refining the costing model for the students with disability loading to inform the loading settings from 2023. In 2021, the </w:t>
      </w:r>
      <w:r w:rsidR="008C2174">
        <w:t>Department of Education</w:t>
      </w:r>
      <w:r w:rsidR="008C2174" w:rsidRPr="005C605E">
        <w:t xml:space="preserve"> </w:t>
      </w:r>
      <w:r w:rsidRPr="005C605E">
        <w:t xml:space="preserve">commissioned an independent review of the Students with Disability Loading. </w:t>
      </w:r>
    </w:p>
    <w:p w14:paraId="7E62B2F2" w14:textId="6AD01E47" w:rsidR="009C20F0" w:rsidRDefault="005C605E" w:rsidP="00C9043B">
      <w:pPr>
        <w:spacing w:after="240"/>
      </w:pPr>
      <w:r w:rsidRPr="005C605E">
        <w:t>T</w:t>
      </w:r>
      <w:r w:rsidR="008C3398">
        <w:t>his work is being progressed in </w:t>
      </w:r>
      <w:r w:rsidRPr="005C605E">
        <w:t xml:space="preserve">consultation with the schooling sector. Findings and recommendations of this independent review will be provided to the </w:t>
      </w:r>
      <w:r w:rsidR="00B62FDB">
        <w:t xml:space="preserve">Australian </w:t>
      </w:r>
      <w:r w:rsidRPr="005C605E">
        <w:t>Government for consideration.</w:t>
      </w:r>
    </w:p>
    <w:tbl>
      <w:tblPr>
        <w:tblStyle w:val="TableGrid"/>
        <w:tblW w:w="0" w:type="auto"/>
        <w:tblLook w:val="04A0" w:firstRow="1" w:lastRow="0" w:firstColumn="1" w:lastColumn="0" w:noHBand="0" w:noVBand="1"/>
        <w:tblDescription w:val="Decorative"/>
      </w:tblPr>
      <w:tblGrid>
        <w:gridCol w:w="9016"/>
      </w:tblGrid>
      <w:tr w:rsidR="009C20F0" w14:paraId="620C3F62" w14:textId="77777777" w:rsidTr="009C20F0">
        <w:tc>
          <w:tcPr>
            <w:tcW w:w="9016" w:type="dxa"/>
          </w:tcPr>
          <w:p w14:paraId="58BE4BD7" w14:textId="77777777" w:rsidR="009C20F0" w:rsidRPr="009C20F0" w:rsidRDefault="009C20F0" w:rsidP="009C20F0">
            <w:pPr>
              <w:spacing w:line="276" w:lineRule="auto"/>
              <w:jc w:val="both"/>
              <w:rPr>
                <w:b/>
              </w:rPr>
            </w:pPr>
            <w:r w:rsidRPr="009C20F0">
              <w:rPr>
                <w:b/>
              </w:rPr>
              <w:t>Recommendation 50</w:t>
            </w:r>
          </w:p>
          <w:p w14:paraId="47E973CC" w14:textId="17705F55" w:rsidR="009C20F0" w:rsidRDefault="009C20F0" w:rsidP="009C20F0">
            <w:r w:rsidRPr="00087DA3">
              <w:t>The committee recommends that, where state and territory education authorities use targeted programs to distribute funding for students with disability, eligibility for these programs be reviewed and adjusted to better meet the needs of autistic</w:t>
            </w:r>
            <w:r w:rsidRPr="00087DA3">
              <w:rPr>
                <w:spacing w:val="-2"/>
              </w:rPr>
              <w:t xml:space="preserve"> </w:t>
            </w:r>
            <w:r w:rsidRPr="00087DA3">
              <w:t>students.</w:t>
            </w:r>
          </w:p>
        </w:tc>
      </w:tr>
    </w:tbl>
    <w:p w14:paraId="5A83B346" w14:textId="2FB28C8F" w:rsidR="005C605E" w:rsidRPr="00C9043B" w:rsidRDefault="005C605E" w:rsidP="005C605E"/>
    <w:p w14:paraId="786627B1" w14:textId="77777777" w:rsidR="005C605E" w:rsidRPr="005C605E" w:rsidRDefault="005C605E" w:rsidP="005C605E">
      <w:pPr>
        <w:rPr>
          <w:b/>
          <w:bCs/>
          <w:color w:val="000000"/>
          <w:sz w:val="22"/>
          <w:szCs w:val="22"/>
          <w:shd w:val="clear" w:color="auto" w:fill="FFFFFF"/>
        </w:rPr>
      </w:pPr>
      <w:r w:rsidRPr="005C605E">
        <w:rPr>
          <w:b/>
          <w:bCs/>
          <w:color w:val="000000"/>
          <w:shd w:val="clear" w:color="auto" w:fill="FFFFFF"/>
        </w:rPr>
        <w:t>Noted</w:t>
      </w:r>
    </w:p>
    <w:p w14:paraId="44B5956C" w14:textId="5C4A470C" w:rsidR="00335741" w:rsidRDefault="00ED2F56" w:rsidP="00C9043B">
      <w:pPr>
        <w:spacing w:after="240"/>
        <w:rPr>
          <w:color w:val="000000"/>
          <w:shd w:val="clear" w:color="auto" w:fill="FFFFFF"/>
        </w:rPr>
      </w:pPr>
      <w:r>
        <w:rPr>
          <w:color w:val="000000"/>
          <w:shd w:val="clear" w:color="auto" w:fill="FFFFFF"/>
        </w:rPr>
        <w:t>This is a matter for state and t</w:t>
      </w:r>
      <w:r w:rsidR="00BE3458">
        <w:rPr>
          <w:color w:val="000000"/>
          <w:shd w:val="clear" w:color="auto" w:fill="FFFFFF"/>
        </w:rPr>
        <w:t>erritory government consideration.</w:t>
      </w:r>
    </w:p>
    <w:tbl>
      <w:tblPr>
        <w:tblStyle w:val="TableGrid"/>
        <w:tblW w:w="0" w:type="auto"/>
        <w:tblLook w:val="04A0" w:firstRow="1" w:lastRow="0" w:firstColumn="1" w:lastColumn="0" w:noHBand="0" w:noVBand="1"/>
        <w:tblDescription w:val="Decorative"/>
      </w:tblPr>
      <w:tblGrid>
        <w:gridCol w:w="9016"/>
      </w:tblGrid>
      <w:tr w:rsidR="00335741" w14:paraId="3FB945AD" w14:textId="77777777" w:rsidTr="00335741">
        <w:tc>
          <w:tcPr>
            <w:tcW w:w="9016" w:type="dxa"/>
          </w:tcPr>
          <w:p w14:paraId="4524F7CE" w14:textId="77777777" w:rsidR="00335741" w:rsidRPr="00335741" w:rsidRDefault="00335741" w:rsidP="00335741">
            <w:pPr>
              <w:keepNext/>
              <w:widowControl w:val="0"/>
              <w:spacing w:line="276" w:lineRule="auto"/>
              <w:jc w:val="both"/>
              <w:rPr>
                <w:b/>
              </w:rPr>
            </w:pPr>
            <w:r w:rsidRPr="00335741">
              <w:rPr>
                <w:b/>
              </w:rPr>
              <w:t>Recommendation 51</w:t>
            </w:r>
          </w:p>
          <w:p w14:paraId="24DCA52C" w14:textId="364368D0" w:rsidR="00335741" w:rsidRDefault="00335741" w:rsidP="00335741">
            <w:pPr>
              <w:rPr>
                <w:color w:val="000000"/>
                <w:shd w:val="clear" w:color="auto" w:fill="FFFFFF"/>
              </w:rPr>
            </w:pPr>
            <w:r w:rsidRPr="00087DA3">
              <w:t>The</w:t>
            </w:r>
            <w:r w:rsidRPr="00087DA3">
              <w:rPr>
                <w:spacing w:val="-15"/>
              </w:rPr>
              <w:t xml:space="preserve"> </w:t>
            </w:r>
            <w:r w:rsidRPr="00087DA3">
              <w:t>committee</w:t>
            </w:r>
            <w:r w:rsidRPr="00087DA3">
              <w:rPr>
                <w:spacing w:val="-14"/>
              </w:rPr>
              <w:t xml:space="preserve"> </w:t>
            </w:r>
            <w:r w:rsidRPr="00087DA3">
              <w:t>recommends</w:t>
            </w:r>
            <w:r w:rsidRPr="00087DA3">
              <w:rPr>
                <w:spacing w:val="-16"/>
              </w:rPr>
              <w:t xml:space="preserve"> </w:t>
            </w:r>
            <w:r w:rsidRPr="00087DA3">
              <w:t>that</w:t>
            </w:r>
            <w:r w:rsidRPr="00087DA3">
              <w:rPr>
                <w:spacing w:val="-15"/>
              </w:rPr>
              <w:t xml:space="preserve"> </w:t>
            </w:r>
            <w:r w:rsidRPr="00087DA3">
              <w:t>the</w:t>
            </w:r>
            <w:r w:rsidRPr="00087DA3">
              <w:rPr>
                <w:spacing w:val="-14"/>
              </w:rPr>
              <w:t xml:space="preserve"> </w:t>
            </w:r>
            <w:r w:rsidRPr="00087DA3">
              <w:t>Australian Government work</w:t>
            </w:r>
            <w:r w:rsidRPr="00087DA3">
              <w:rPr>
                <w:spacing w:val="-16"/>
              </w:rPr>
              <w:t xml:space="preserve"> </w:t>
            </w:r>
            <w:r w:rsidRPr="00087DA3">
              <w:t>with</w:t>
            </w:r>
            <w:r w:rsidRPr="00087DA3">
              <w:rPr>
                <w:spacing w:val="-15"/>
              </w:rPr>
              <w:t xml:space="preserve"> </w:t>
            </w:r>
            <w:r w:rsidRPr="00087DA3">
              <w:t>state and territory education authorities and relevant stakeholders to identify and implement measures to build the capacity of teachers, school leaders and parents to support the inclusion of autistic students in schools. This should include the provision of additional specialist support in</w:t>
            </w:r>
            <w:r w:rsidRPr="00087DA3">
              <w:rPr>
                <w:spacing w:val="-5"/>
              </w:rPr>
              <w:t xml:space="preserve"> </w:t>
            </w:r>
            <w:r w:rsidRPr="00087DA3">
              <w:t>schools.</w:t>
            </w:r>
          </w:p>
        </w:tc>
      </w:tr>
    </w:tbl>
    <w:p w14:paraId="3C34C30B" w14:textId="2B565488" w:rsidR="005C605E" w:rsidRPr="005B2C16" w:rsidRDefault="005C605E" w:rsidP="005C605E">
      <w:pPr>
        <w:rPr>
          <w:sz w:val="22"/>
          <w:szCs w:val="22"/>
        </w:rPr>
      </w:pPr>
    </w:p>
    <w:p w14:paraId="5EA449E5" w14:textId="093D55FD" w:rsidR="005C605E" w:rsidRPr="005C605E" w:rsidRDefault="00BE3458" w:rsidP="005C605E">
      <w:pPr>
        <w:rPr>
          <w:b/>
          <w:bCs/>
        </w:rPr>
      </w:pPr>
      <w:r>
        <w:rPr>
          <w:b/>
          <w:bCs/>
        </w:rPr>
        <w:t>Support</w:t>
      </w:r>
      <w:r w:rsidR="00E92FFA">
        <w:rPr>
          <w:b/>
          <w:bCs/>
        </w:rPr>
        <w:t>ed</w:t>
      </w:r>
      <w:r w:rsidR="005C605E" w:rsidRPr="005C605E">
        <w:rPr>
          <w:b/>
          <w:bCs/>
        </w:rPr>
        <w:t xml:space="preserve"> in principle</w:t>
      </w:r>
    </w:p>
    <w:p w14:paraId="58B6FFA7" w14:textId="7D27B7BC" w:rsidR="007D2660" w:rsidRPr="005C605E" w:rsidRDefault="005C605E" w:rsidP="0030551A">
      <w:pPr>
        <w:spacing w:after="240"/>
      </w:pPr>
      <w:r w:rsidRPr="005C605E">
        <w:t xml:space="preserve">The 2020 Review of the </w:t>
      </w:r>
      <w:r w:rsidRPr="005C605E">
        <w:rPr>
          <w:i/>
          <w:iCs/>
        </w:rPr>
        <w:t>Disability Standards for Education 2005</w:t>
      </w:r>
      <w:r w:rsidRPr="005C605E">
        <w:t xml:space="preserve"> (the Standards) made recommendations to strengthen the knowledge and capability of educators and education providers to meet their obligations under the Standards, and to better embed accountability for the Standards throughout the education system. </w:t>
      </w:r>
    </w:p>
    <w:p w14:paraId="0C974785" w14:textId="7BDE309D" w:rsidR="005C605E" w:rsidRPr="005C605E" w:rsidRDefault="005C605E" w:rsidP="0030551A">
      <w:pPr>
        <w:spacing w:after="240"/>
      </w:pPr>
      <w:r w:rsidRPr="005C605E">
        <w:t xml:space="preserve">Recommendations from the Review build on the capacity of teachers, school leaders and parents to support all students with disability, including </w:t>
      </w:r>
      <w:r w:rsidR="00D365EC">
        <w:t xml:space="preserve">autistic </w:t>
      </w:r>
      <w:r w:rsidRPr="005C605E">
        <w:t>students. Implement</w:t>
      </w:r>
      <w:r w:rsidR="008C3398">
        <w:t>ation of </w:t>
      </w:r>
      <w:r w:rsidRPr="005C605E">
        <w:t xml:space="preserve">the recommendations is being guided by the Disability Standards Review Implementation Reference Group (IRG). The IRG comprises representatives from </w:t>
      </w:r>
      <w:r w:rsidR="007D2660">
        <w:t>s</w:t>
      </w:r>
      <w:r w:rsidRPr="005C605E">
        <w:t xml:space="preserve">tate and </w:t>
      </w:r>
      <w:r w:rsidR="007D2660">
        <w:t>t</w:t>
      </w:r>
      <w:r w:rsidRPr="005C605E">
        <w:t>err</w:t>
      </w:r>
      <w:r w:rsidR="00E92FFA">
        <w:t>itory education departments and</w:t>
      </w:r>
      <w:r w:rsidRPr="005C605E">
        <w:t xml:space="preserve"> representatives of the non-government schools sector (Independent School</w:t>
      </w:r>
      <w:r w:rsidR="00E92FFA">
        <w:t>s Australia</w:t>
      </w:r>
      <w:r w:rsidRPr="005C605E">
        <w:t xml:space="preserve"> and the National Catholic Education Commission)</w:t>
      </w:r>
      <w:r w:rsidR="00064003">
        <w:t>.</w:t>
      </w:r>
    </w:p>
    <w:p w14:paraId="3CD2F6F8" w14:textId="77777777" w:rsidR="004D3576" w:rsidRDefault="004D3576">
      <w:pPr>
        <w:spacing w:after="160" w:line="259" w:lineRule="auto"/>
      </w:pPr>
      <w:r>
        <w:br w:type="page"/>
      </w:r>
    </w:p>
    <w:p w14:paraId="76943912" w14:textId="2695EFB5" w:rsidR="007D2660" w:rsidRPr="005C605E" w:rsidRDefault="008C2174" w:rsidP="0030551A">
      <w:pPr>
        <w:spacing w:after="240"/>
      </w:pPr>
      <w:r>
        <w:lastRenderedPageBreak/>
        <w:t>The Department of Education</w:t>
      </w:r>
      <w:r w:rsidRPr="005C605E">
        <w:t xml:space="preserve"> </w:t>
      </w:r>
      <w:r w:rsidR="005C605E" w:rsidRPr="005C605E">
        <w:t xml:space="preserve">is also working with Education Services Australia to expand the autism-specific resources already available on the </w:t>
      </w:r>
      <w:r w:rsidR="005C605E" w:rsidRPr="00E92FFA">
        <w:t>Student Wellbeing Hub</w:t>
      </w:r>
      <w:r w:rsidR="005C605E" w:rsidRPr="005C605E">
        <w:t xml:space="preserve"> and on the </w:t>
      </w:r>
      <w:r w:rsidR="005C605E" w:rsidRPr="00E92FFA">
        <w:t>web portal</w:t>
      </w:r>
      <w:r w:rsidR="005C605E" w:rsidRPr="005C605E">
        <w:t xml:space="preserve"> for the Nationally Consistent Collection of Data on School Students with Disabilit</w:t>
      </w:r>
      <w:r w:rsidR="00E92FFA">
        <w:t xml:space="preserve">y. </w:t>
      </w:r>
      <w:r w:rsidR="00E92FFA" w:rsidRPr="008C3398">
        <w:t>New resources under development</w:t>
      </w:r>
      <w:r w:rsidR="005C605E" w:rsidRPr="008C3398">
        <w:t xml:space="preserve"> include:</w:t>
      </w:r>
    </w:p>
    <w:p w14:paraId="2A44D0B5" w14:textId="0F00641F" w:rsidR="00C301D7" w:rsidRPr="001D0442" w:rsidRDefault="005C605E" w:rsidP="0030551A">
      <w:pPr>
        <w:pStyle w:val="ListParagraph"/>
        <w:numPr>
          <w:ilvl w:val="0"/>
          <w:numId w:val="7"/>
        </w:numPr>
        <w:spacing w:after="0" w:line="240" w:lineRule="auto"/>
        <w:ind w:left="714" w:hanging="357"/>
        <w:contextualSpacing w:val="0"/>
        <w:rPr>
          <w:rFonts w:ascii="Times New Roman" w:hAnsi="Times New Roman" w:cs="Times New Roman"/>
          <w:sz w:val="24"/>
          <w:szCs w:val="24"/>
        </w:rPr>
      </w:pPr>
      <w:r w:rsidRPr="005C605E">
        <w:rPr>
          <w:rFonts w:ascii="Times New Roman" w:hAnsi="Times New Roman" w:cs="Times New Roman"/>
          <w:sz w:val="24"/>
          <w:szCs w:val="24"/>
        </w:rPr>
        <w:t>Online advice and strategies to help students self-regulate when they are feeling stressed or overwhelmed by their environment, including school.</w:t>
      </w:r>
    </w:p>
    <w:p w14:paraId="47702523" w14:textId="04E4C826" w:rsidR="007D2660" w:rsidRPr="0030551A" w:rsidRDefault="005C605E" w:rsidP="0030551A">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5C605E">
        <w:rPr>
          <w:rFonts w:ascii="Times New Roman" w:hAnsi="Times New Roman" w:cs="Times New Roman"/>
          <w:sz w:val="24"/>
          <w:szCs w:val="24"/>
        </w:rPr>
        <w:t>Resources to promote a constructive dialogue by teachers and families about support</w:t>
      </w:r>
      <w:r w:rsidR="00E92FFA">
        <w:rPr>
          <w:rFonts w:ascii="Times New Roman" w:hAnsi="Times New Roman" w:cs="Times New Roman"/>
          <w:sz w:val="24"/>
          <w:szCs w:val="24"/>
        </w:rPr>
        <w:t>ing</w:t>
      </w:r>
      <w:r w:rsidRPr="005C605E">
        <w:rPr>
          <w:rFonts w:ascii="Times New Roman" w:hAnsi="Times New Roman" w:cs="Times New Roman"/>
          <w:sz w:val="24"/>
          <w:szCs w:val="24"/>
        </w:rPr>
        <w:t xml:space="preserve"> autistic children transitioning into school.</w:t>
      </w:r>
    </w:p>
    <w:p w14:paraId="562806CF" w14:textId="6EC410B2" w:rsidR="007D2660" w:rsidRPr="0030551A" w:rsidRDefault="005C605E" w:rsidP="0030551A">
      <w:pPr>
        <w:spacing w:after="240"/>
      </w:pPr>
      <w:r w:rsidRPr="005C605E">
        <w:t>The Positive Partnerships program has helped improve in</w:t>
      </w:r>
      <w:r w:rsidR="000E0128">
        <w:t>clusion of autistic students in </w:t>
      </w:r>
      <w:r w:rsidRPr="005C605E">
        <w:t xml:space="preserve">schools since it was established in 2008 as part of the </w:t>
      </w:r>
      <w:r w:rsidR="00B62FDB">
        <w:t>Australian</w:t>
      </w:r>
      <w:r w:rsidR="00B62FDB" w:rsidRPr="005C605E" w:rsidDel="007D2660">
        <w:t xml:space="preserve"> </w:t>
      </w:r>
      <w:r w:rsidR="000E0128">
        <w:t>Government’s cross</w:t>
      </w:r>
      <w:r w:rsidR="000E0128">
        <w:noBreakHyphen/>
      </w:r>
      <w:r w:rsidRPr="005C605E">
        <w:t xml:space="preserve">sectoral Helping Children with Autism initiative. The </w:t>
      </w:r>
      <w:r w:rsidRPr="00E92FFA">
        <w:t>Positive Partnerships program</w:t>
      </w:r>
      <w:r w:rsidR="00E92FFA">
        <w:t xml:space="preserve">, administered by </w:t>
      </w:r>
      <w:r w:rsidR="008C2174">
        <w:t>the Department of Education</w:t>
      </w:r>
      <w:r w:rsidR="00E92FFA">
        <w:t>, supports school</w:t>
      </w:r>
      <w:r w:rsidR="00E92FFA">
        <w:noBreakHyphen/>
      </w:r>
      <w:r w:rsidRPr="005C605E">
        <w:t xml:space="preserve">aged </w:t>
      </w:r>
      <w:r w:rsidR="00D365EC">
        <w:t xml:space="preserve">autistic </w:t>
      </w:r>
      <w:r w:rsidRPr="005C605E">
        <w:t>students</w:t>
      </w:r>
      <w:r w:rsidR="000E0128">
        <w:t>. The </w:t>
      </w:r>
      <w:r w:rsidR="00E92FFA">
        <w:t xml:space="preserve">program is </w:t>
      </w:r>
      <w:r w:rsidRPr="005C605E">
        <w:t>implemented in each state and territory by a planning group comprising representatives of government, Catholic and independen</w:t>
      </w:r>
      <w:r w:rsidR="000E0128">
        <w:t>t education authorities, autism </w:t>
      </w:r>
      <w:r w:rsidRPr="005C605E">
        <w:t xml:space="preserve">associations and allied health professionals. </w:t>
      </w:r>
      <w:r w:rsidR="00E92FFA">
        <w:t>The program provides:</w:t>
      </w:r>
    </w:p>
    <w:p w14:paraId="22FAB367" w14:textId="3792D19B" w:rsidR="00C301D7" w:rsidRPr="008C3398" w:rsidRDefault="00E92FFA" w:rsidP="008C3398">
      <w:pPr>
        <w:pStyle w:val="ListParagraph"/>
        <w:numPr>
          <w:ilvl w:val="0"/>
          <w:numId w:val="7"/>
        </w:numPr>
        <w:spacing w:after="0" w:line="240" w:lineRule="auto"/>
        <w:ind w:left="714" w:hanging="357"/>
        <w:rPr>
          <w:rFonts w:ascii="Times New Roman" w:hAnsi="Times New Roman" w:cs="Times New Roman"/>
          <w:sz w:val="24"/>
          <w:szCs w:val="24"/>
        </w:rPr>
      </w:pPr>
      <w:r w:rsidRPr="008C3398">
        <w:rPr>
          <w:rFonts w:ascii="Times New Roman" w:hAnsi="Times New Roman" w:cs="Times New Roman"/>
          <w:sz w:val="24"/>
          <w:szCs w:val="24"/>
        </w:rPr>
        <w:t>P</w:t>
      </w:r>
      <w:r w:rsidR="005C605E" w:rsidRPr="008C3398">
        <w:rPr>
          <w:rFonts w:ascii="Times New Roman" w:hAnsi="Times New Roman" w:cs="Times New Roman"/>
          <w:sz w:val="24"/>
          <w:szCs w:val="24"/>
        </w:rPr>
        <w:t>rofessional development for teachers, principals and other school staff to build their understanding, skills and expertise in working with school-age</w:t>
      </w:r>
      <w:r w:rsidR="00D365EC" w:rsidRPr="008C3398">
        <w:rPr>
          <w:rFonts w:ascii="Times New Roman" w:hAnsi="Times New Roman" w:cs="Times New Roman"/>
          <w:sz w:val="24"/>
          <w:szCs w:val="24"/>
        </w:rPr>
        <w:t xml:space="preserve"> autistic</w:t>
      </w:r>
      <w:r w:rsidR="005C605E" w:rsidRPr="008C3398">
        <w:rPr>
          <w:rFonts w:ascii="Times New Roman" w:hAnsi="Times New Roman" w:cs="Times New Roman"/>
          <w:sz w:val="24"/>
          <w:szCs w:val="24"/>
        </w:rPr>
        <w:t xml:space="preserve"> students;</w:t>
      </w:r>
    </w:p>
    <w:p w14:paraId="14638F74" w14:textId="167FEE7E" w:rsidR="00C301D7" w:rsidRPr="008C3398" w:rsidRDefault="00E92FFA" w:rsidP="008C3398">
      <w:pPr>
        <w:pStyle w:val="ListParagraph"/>
        <w:numPr>
          <w:ilvl w:val="0"/>
          <w:numId w:val="7"/>
        </w:numPr>
        <w:spacing w:after="0" w:line="240" w:lineRule="auto"/>
        <w:ind w:left="714" w:hanging="357"/>
        <w:rPr>
          <w:rFonts w:ascii="Times New Roman" w:hAnsi="Times New Roman" w:cs="Times New Roman"/>
          <w:sz w:val="24"/>
          <w:szCs w:val="24"/>
        </w:rPr>
      </w:pPr>
      <w:r w:rsidRPr="008C3398">
        <w:rPr>
          <w:rFonts w:ascii="Times New Roman" w:hAnsi="Times New Roman" w:cs="Times New Roman"/>
          <w:sz w:val="24"/>
          <w:szCs w:val="24"/>
        </w:rPr>
        <w:t>W</w:t>
      </w:r>
      <w:r w:rsidR="005C605E" w:rsidRPr="008C3398">
        <w:rPr>
          <w:rFonts w:ascii="Times New Roman" w:hAnsi="Times New Roman" w:cs="Times New Roman"/>
          <w:sz w:val="24"/>
          <w:szCs w:val="24"/>
        </w:rPr>
        <w:t xml:space="preserve">orkshops and information sessions for parents and carers of school-age </w:t>
      </w:r>
      <w:r w:rsidR="00F25322" w:rsidRPr="008C3398">
        <w:rPr>
          <w:rFonts w:ascii="Times New Roman" w:hAnsi="Times New Roman" w:cs="Times New Roman"/>
          <w:sz w:val="24"/>
          <w:szCs w:val="24"/>
        </w:rPr>
        <w:t xml:space="preserve">autistic </w:t>
      </w:r>
      <w:r w:rsidR="005C605E" w:rsidRPr="008C3398">
        <w:rPr>
          <w:rFonts w:ascii="Times New Roman" w:hAnsi="Times New Roman" w:cs="Times New Roman"/>
          <w:sz w:val="24"/>
          <w:szCs w:val="24"/>
        </w:rPr>
        <w:t>students; and</w:t>
      </w:r>
    </w:p>
    <w:p w14:paraId="2BE10130" w14:textId="7662044F" w:rsidR="007D2660" w:rsidRPr="0030551A" w:rsidRDefault="00E92FFA" w:rsidP="00DA7E3D">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8C3398">
        <w:rPr>
          <w:rFonts w:ascii="Times New Roman" w:hAnsi="Times New Roman" w:cs="Times New Roman"/>
          <w:sz w:val="24"/>
          <w:szCs w:val="24"/>
        </w:rPr>
        <w:t>A</w:t>
      </w:r>
      <w:r w:rsidR="005C605E" w:rsidRPr="008C3398">
        <w:rPr>
          <w:rFonts w:ascii="Times New Roman" w:hAnsi="Times New Roman" w:cs="Times New Roman"/>
          <w:sz w:val="24"/>
          <w:szCs w:val="24"/>
        </w:rPr>
        <w:t xml:space="preserve"> website providing online learning modules and</w:t>
      </w:r>
      <w:r w:rsidRPr="008C3398">
        <w:rPr>
          <w:rFonts w:ascii="Times New Roman" w:hAnsi="Times New Roman" w:cs="Times New Roman"/>
          <w:sz w:val="24"/>
          <w:szCs w:val="24"/>
        </w:rPr>
        <w:t xml:space="preserve"> other resources</w:t>
      </w:r>
      <w:r w:rsidR="005C605E" w:rsidRPr="008C3398">
        <w:rPr>
          <w:rFonts w:ascii="Times New Roman" w:hAnsi="Times New Roman" w:cs="Times New Roman"/>
          <w:sz w:val="24"/>
          <w:szCs w:val="24"/>
        </w:rPr>
        <w:t xml:space="preserve"> in different languages, for parents and carers from </w:t>
      </w:r>
      <w:r w:rsidR="00975780" w:rsidRPr="008C3398">
        <w:rPr>
          <w:rFonts w:ascii="Times New Roman" w:hAnsi="Times New Roman" w:cs="Times New Roman"/>
          <w:sz w:val="24"/>
          <w:szCs w:val="24"/>
        </w:rPr>
        <w:t>culturally and linguistically d</w:t>
      </w:r>
      <w:r w:rsidR="005C605E" w:rsidRPr="008C3398">
        <w:rPr>
          <w:rFonts w:ascii="Times New Roman" w:hAnsi="Times New Roman" w:cs="Times New Roman"/>
          <w:sz w:val="24"/>
          <w:szCs w:val="24"/>
        </w:rPr>
        <w:t>iverse backgrounds</w:t>
      </w:r>
      <w:r w:rsidRPr="008C3398">
        <w:rPr>
          <w:rFonts w:ascii="Times New Roman" w:hAnsi="Times New Roman" w:cs="Times New Roman"/>
          <w:sz w:val="24"/>
          <w:szCs w:val="24"/>
        </w:rPr>
        <w:t xml:space="preserve">, and </w:t>
      </w:r>
      <w:r w:rsidR="005C605E" w:rsidRPr="008C3398">
        <w:rPr>
          <w:rFonts w:ascii="Times New Roman" w:hAnsi="Times New Roman" w:cs="Times New Roman"/>
          <w:sz w:val="24"/>
          <w:szCs w:val="24"/>
        </w:rPr>
        <w:t>resources developed in consulta</w:t>
      </w:r>
      <w:r w:rsidR="000E0128">
        <w:rPr>
          <w:rFonts w:ascii="Times New Roman" w:hAnsi="Times New Roman" w:cs="Times New Roman"/>
          <w:sz w:val="24"/>
          <w:szCs w:val="24"/>
        </w:rPr>
        <w:t>tion with Aboriginal and Torres </w:t>
      </w:r>
      <w:r w:rsidR="005C605E" w:rsidRPr="008C3398">
        <w:rPr>
          <w:rFonts w:ascii="Times New Roman" w:hAnsi="Times New Roman" w:cs="Times New Roman"/>
          <w:sz w:val="24"/>
          <w:szCs w:val="24"/>
        </w:rPr>
        <w:t>Strait Islander communities.</w:t>
      </w:r>
    </w:p>
    <w:p w14:paraId="53EC86F4" w14:textId="44F23D13" w:rsidR="006A1CA5" w:rsidRPr="0030551A" w:rsidRDefault="005C605E" w:rsidP="00DA7E3D">
      <w:pPr>
        <w:spacing w:after="240"/>
      </w:pPr>
      <w:r w:rsidRPr="005C605E">
        <w:t>More than 26,000 people participate</w:t>
      </w:r>
      <w:r w:rsidR="00975780">
        <w:t xml:space="preserve">d in face-to-face workshops, </w:t>
      </w:r>
      <w:r w:rsidRPr="005C605E">
        <w:t>online webinars and training in 2021, comprising educators and support staff and parents and fami</w:t>
      </w:r>
      <w:r w:rsidR="00975780">
        <w:t>ly members. The </w:t>
      </w:r>
      <w:r w:rsidRPr="005C605E">
        <w:t xml:space="preserve">Positive Partnership website has received more than 1 million </w:t>
      </w:r>
      <w:r w:rsidR="007D2660">
        <w:t>visits</w:t>
      </w:r>
      <w:r w:rsidRPr="005C605E">
        <w:t xml:space="preserve"> since 2012.</w:t>
      </w:r>
    </w:p>
    <w:tbl>
      <w:tblPr>
        <w:tblStyle w:val="TableGrid"/>
        <w:tblW w:w="0" w:type="auto"/>
        <w:tblLook w:val="04A0" w:firstRow="1" w:lastRow="0" w:firstColumn="1" w:lastColumn="0" w:noHBand="0" w:noVBand="1"/>
        <w:tblDescription w:val="Decorative"/>
      </w:tblPr>
      <w:tblGrid>
        <w:gridCol w:w="9016"/>
      </w:tblGrid>
      <w:tr w:rsidR="00494E96" w14:paraId="453F1A66" w14:textId="77777777" w:rsidTr="00494E96">
        <w:tc>
          <w:tcPr>
            <w:tcW w:w="9016" w:type="dxa"/>
          </w:tcPr>
          <w:p w14:paraId="05DE652C" w14:textId="77777777" w:rsidR="00494E96" w:rsidRPr="00494E96" w:rsidRDefault="00494E96" w:rsidP="00494E96">
            <w:pPr>
              <w:spacing w:before="1" w:line="276" w:lineRule="auto"/>
              <w:jc w:val="both"/>
              <w:rPr>
                <w:b/>
              </w:rPr>
            </w:pPr>
            <w:r w:rsidRPr="00494E96">
              <w:rPr>
                <w:b/>
              </w:rPr>
              <w:t>Recommendation 52</w:t>
            </w:r>
          </w:p>
          <w:p w14:paraId="3FDBFD6F" w14:textId="77777777" w:rsidR="00494E96" w:rsidRPr="00087DA3" w:rsidRDefault="00494E96" w:rsidP="00494E96">
            <w:pPr>
              <w:pStyle w:val="ListParagraph"/>
              <w:widowControl w:val="0"/>
              <w:tabs>
                <w:tab w:val="left" w:pos="454"/>
              </w:tabs>
              <w:autoSpaceDE w:val="0"/>
              <w:autoSpaceDN w:val="0"/>
              <w:spacing w:before="60"/>
              <w:ind w:left="3" w:right="717"/>
              <w:rPr>
                <w:rFonts w:ascii="Times New Roman" w:hAnsi="Times New Roman" w:cs="Times New Roman"/>
                <w:sz w:val="24"/>
                <w:szCs w:val="24"/>
              </w:rPr>
            </w:pPr>
            <w:r w:rsidRPr="00087DA3">
              <w:rPr>
                <w:rFonts w:ascii="Times New Roman" w:hAnsi="Times New Roman" w:cs="Times New Roman"/>
                <w:sz w:val="24"/>
                <w:szCs w:val="24"/>
              </w:rPr>
              <w:t>The committee recommends that the Australian Institute of Teaching and School</w:t>
            </w:r>
            <w:r w:rsidRPr="00087DA3">
              <w:rPr>
                <w:rFonts w:ascii="Times New Roman" w:hAnsi="Times New Roman" w:cs="Times New Roman"/>
                <w:spacing w:val="-19"/>
                <w:sz w:val="24"/>
                <w:szCs w:val="24"/>
              </w:rPr>
              <w:t xml:space="preserve"> </w:t>
            </w:r>
            <w:r w:rsidRPr="00087DA3">
              <w:rPr>
                <w:rFonts w:ascii="Times New Roman" w:hAnsi="Times New Roman" w:cs="Times New Roman"/>
                <w:sz w:val="24"/>
                <w:szCs w:val="24"/>
              </w:rPr>
              <w:t>Leadership</w:t>
            </w:r>
            <w:r w:rsidRPr="00087DA3">
              <w:rPr>
                <w:rFonts w:ascii="Times New Roman" w:hAnsi="Times New Roman" w:cs="Times New Roman"/>
                <w:spacing w:val="-15"/>
                <w:sz w:val="24"/>
                <w:szCs w:val="24"/>
              </w:rPr>
              <w:t xml:space="preserve"> </w:t>
            </w:r>
            <w:r w:rsidRPr="00087DA3">
              <w:rPr>
                <w:rFonts w:ascii="Times New Roman" w:hAnsi="Times New Roman" w:cs="Times New Roman"/>
                <w:sz w:val="24"/>
                <w:szCs w:val="24"/>
              </w:rPr>
              <w:t>work</w:t>
            </w:r>
            <w:r w:rsidRPr="00087DA3">
              <w:rPr>
                <w:rFonts w:ascii="Times New Roman" w:hAnsi="Times New Roman" w:cs="Times New Roman"/>
                <w:spacing w:val="-17"/>
                <w:sz w:val="24"/>
                <w:szCs w:val="24"/>
              </w:rPr>
              <w:t xml:space="preserve"> </w:t>
            </w:r>
            <w:r w:rsidRPr="00087DA3">
              <w:rPr>
                <w:rFonts w:ascii="Times New Roman" w:hAnsi="Times New Roman" w:cs="Times New Roman"/>
                <w:sz w:val="24"/>
                <w:szCs w:val="24"/>
              </w:rPr>
              <w:t>with</w:t>
            </w:r>
            <w:r w:rsidRPr="00087DA3">
              <w:rPr>
                <w:rFonts w:ascii="Times New Roman" w:hAnsi="Times New Roman" w:cs="Times New Roman"/>
                <w:spacing w:val="-16"/>
                <w:sz w:val="24"/>
                <w:szCs w:val="24"/>
              </w:rPr>
              <w:t xml:space="preserve"> </w:t>
            </w:r>
            <w:r w:rsidRPr="00087DA3">
              <w:rPr>
                <w:rFonts w:ascii="Times New Roman" w:hAnsi="Times New Roman" w:cs="Times New Roman"/>
                <w:sz w:val="24"/>
                <w:szCs w:val="24"/>
              </w:rPr>
              <w:t>state</w:t>
            </w:r>
            <w:r w:rsidRPr="00087DA3">
              <w:rPr>
                <w:rFonts w:ascii="Times New Roman" w:hAnsi="Times New Roman" w:cs="Times New Roman"/>
                <w:spacing w:val="-17"/>
                <w:sz w:val="24"/>
                <w:szCs w:val="24"/>
              </w:rPr>
              <w:t xml:space="preserve"> </w:t>
            </w:r>
            <w:r w:rsidRPr="00087DA3">
              <w:rPr>
                <w:rFonts w:ascii="Times New Roman" w:hAnsi="Times New Roman" w:cs="Times New Roman"/>
                <w:sz w:val="24"/>
                <w:szCs w:val="24"/>
              </w:rPr>
              <w:t>and</w:t>
            </w:r>
            <w:r w:rsidRPr="00087DA3">
              <w:rPr>
                <w:rFonts w:ascii="Times New Roman" w:hAnsi="Times New Roman" w:cs="Times New Roman"/>
                <w:spacing w:val="-16"/>
                <w:sz w:val="24"/>
                <w:szCs w:val="24"/>
              </w:rPr>
              <w:t xml:space="preserve"> </w:t>
            </w:r>
            <w:r w:rsidRPr="00087DA3">
              <w:rPr>
                <w:rFonts w:ascii="Times New Roman" w:hAnsi="Times New Roman" w:cs="Times New Roman"/>
                <w:sz w:val="24"/>
                <w:szCs w:val="24"/>
              </w:rPr>
              <w:t>territory</w:t>
            </w:r>
            <w:r w:rsidRPr="00087DA3">
              <w:rPr>
                <w:rFonts w:ascii="Times New Roman" w:hAnsi="Times New Roman" w:cs="Times New Roman"/>
                <w:spacing w:val="-16"/>
                <w:sz w:val="24"/>
                <w:szCs w:val="24"/>
              </w:rPr>
              <w:t xml:space="preserve"> </w:t>
            </w:r>
            <w:r w:rsidRPr="00087DA3">
              <w:rPr>
                <w:rFonts w:ascii="Times New Roman" w:hAnsi="Times New Roman" w:cs="Times New Roman"/>
                <w:sz w:val="24"/>
                <w:szCs w:val="24"/>
              </w:rPr>
              <w:t>teacher</w:t>
            </w:r>
            <w:r w:rsidRPr="00087DA3">
              <w:rPr>
                <w:rFonts w:ascii="Times New Roman" w:hAnsi="Times New Roman" w:cs="Times New Roman"/>
                <w:spacing w:val="-17"/>
                <w:sz w:val="24"/>
                <w:szCs w:val="24"/>
              </w:rPr>
              <w:t xml:space="preserve"> </w:t>
            </w:r>
            <w:r w:rsidRPr="00087DA3">
              <w:rPr>
                <w:rFonts w:ascii="Times New Roman" w:hAnsi="Times New Roman" w:cs="Times New Roman"/>
                <w:sz w:val="24"/>
                <w:szCs w:val="24"/>
              </w:rPr>
              <w:t>regulatory</w:t>
            </w:r>
            <w:r w:rsidRPr="00087DA3">
              <w:rPr>
                <w:rFonts w:ascii="Times New Roman" w:hAnsi="Times New Roman" w:cs="Times New Roman"/>
                <w:spacing w:val="-17"/>
                <w:sz w:val="24"/>
                <w:szCs w:val="24"/>
              </w:rPr>
              <w:t xml:space="preserve"> </w:t>
            </w:r>
            <w:r w:rsidRPr="00087DA3">
              <w:rPr>
                <w:rFonts w:ascii="Times New Roman" w:hAnsi="Times New Roman" w:cs="Times New Roman"/>
                <w:sz w:val="24"/>
                <w:szCs w:val="24"/>
              </w:rPr>
              <w:t>authorities to:</w:t>
            </w:r>
          </w:p>
          <w:p w14:paraId="7F6FA76C" w14:textId="77777777" w:rsidR="00494E96" w:rsidRDefault="00494E96" w:rsidP="00494E9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087DA3">
              <w:rPr>
                <w:rFonts w:ascii="Times New Roman" w:hAnsi="Times New Roman" w:cs="Times New Roman"/>
                <w:sz w:val="24"/>
                <w:szCs w:val="24"/>
              </w:rPr>
              <w:t>ensure all initial teacher education courses include at least two units on inclusive education, with a focus on the functional challenges experienced by autistic students, as well as evidence-based strategies for supporting autistic students in classrooms; and</w:t>
            </w:r>
          </w:p>
          <w:p w14:paraId="443520FB" w14:textId="6BB7A631" w:rsidR="00494E96" w:rsidRPr="00494E96" w:rsidRDefault="00494E96" w:rsidP="00494E9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CB5BD9">
              <w:rPr>
                <w:rFonts w:ascii="Times New Roman" w:hAnsi="Times New Roman" w:cs="Times New Roman"/>
                <w:sz w:val="24"/>
                <w:szCs w:val="24"/>
              </w:rPr>
              <w:t>incorporate autism understanding into professional development requirements tied to teacher registration.</w:t>
            </w:r>
          </w:p>
        </w:tc>
      </w:tr>
    </w:tbl>
    <w:p w14:paraId="4CCAA9D8" w14:textId="42CF5D07" w:rsidR="00070D1A" w:rsidRPr="005B2C16" w:rsidRDefault="00070D1A" w:rsidP="0030551A">
      <w:pPr>
        <w:rPr>
          <w:sz w:val="22"/>
          <w:szCs w:val="22"/>
        </w:rPr>
      </w:pPr>
    </w:p>
    <w:p w14:paraId="30593BEB" w14:textId="68323A60" w:rsidR="00070D1A" w:rsidRPr="00070D1A" w:rsidRDefault="00BF3282" w:rsidP="0030551A">
      <w:pPr>
        <w:autoSpaceDE w:val="0"/>
        <w:autoSpaceDN w:val="0"/>
        <w:jc w:val="both"/>
        <w:rPr>
          <w:b/>
          <w:bCs/>
          <w:sz w:val="22"/>
          <w:szCs w:val="22"/>
        </w:rPr>
      </w:pPr>
      <w:r>
        <w:rPr>
          <w:b/>
          <w:bCs/>
        </w:rPr>
        <w:t>Support</w:t>
      </w:r>
      <w:r w:rsidR="00CA5BA2">
        <w:rPr>
          <w:b/>
          <w:bCs/>
        </w:rPr>
        <w:t>ed</w:t>
      </w:r>
      <w:r w:rsidR="00070D1A" w:rsidRPr="00070D1A">
        <w:rPr>
          <w:b/>
          <w:bCs/>
        </w:rPr>
        <w:t xml:space="preserve"> in principle</w:t>
      </w:r>
    </w:p>
    <w:p w14:paraId="347E66CA" w14:textId="75A38846" w:rsidR="008D656F" w:rsidRDefault="00070D1A" w:rsidP="0030551A">
      <w:pPr>
        <w:rPr>
          <w:lang w:eastAsia="en-AU"/>
        </w:rPr>
      </w:pPr>
      <w:r w:rsidRPr="00070D1A">
        <w:rPr>
          <w:lang w:eastAsia="en-AU"/>
        </w:rPr>
        <w:t xml:space="preserve">Initial teacher education programs are required to meet the </w:t>
      </w:r>
      <w:r w:rsidR="00CA5BA2" w:rsidRPr="00CA5BA2">
        <w:rPr>
          <w:iCs/>
          <w:lang w:eastAsia="en-AU"/>
        </w:rPr>
        <w:t>Accreditation of Initial Teacher Education P</w:t>
      </w:r>
      <w:r w:rsidRPr="00CA5BA2">
        <w:rPr>
          <w:iCs/>
          <w:lang w:eastAsia="en-AU"/>
        </w:rPr>
        <w:t>rograms in Australia: Standards and Procedures</w:t>
      </w:r>
      <w:r w:rsidRPr="00070D1A">
        <w:rPr>
          <w:lang w:eastAsia="en-AU"/>
        </w:rPr>
        <w:t xml:space="preserve"> (</w:t>
      </w:r>
      <w:r w:rsidR="00CA5BA2">
        <w:rPr>
          <w:lang w:eastAsia="en-AU"/>
        </w:rPr>
        <w:t xml:space="preserve">the </w:t>
      </w:r>
      <w:r w:rsidRPr="00070D1A">
        <w:rPr>
          <w:lang w:eastAsia="en-AU"/>
        </w:rPr>
        <w:t xml:space="preserve">Accreditation Standards) which set </w:t>
      </w:r>
      <w:r w:rsidR="00CA5BA2">
        <w:rPr>
          <w:lang w:eastAsia="en-AU"/>
        </w:rPr>
        <w:t>high level requirements</w:t>
      </w:r>
      <w:r w:rsidRPr="00070D1A">
        <w:rPr>
          <w:lang w:eastAsia="en-AU"/>
        </w:rPr>
        <w:t xml:space="preserve"> to ensure that all initial teacher education graduates meet the Graduate career stage of the Australian Professional Stan</w:t>
      </w:r>
      <w:r w:rsidR="00932DFA">
        <w:rPr>
          <w:lang w:eastAsia="en-AU"/>
        </w:rPr>
        <w:t>dards for Teachers (the Teacher </w:t>
      </w:r>
      <w:r w:rsidRPr="00070D1A">
        <w:rPr>
          <w:lang w:eastAsia="en-AU"/>
        </w:rPr>
        <w:t xml:space="preserve">Standards). State and territory teacher regulatory authorities are responsible for the accreditation of initial teacher education programs using the </w:t>
      </w:r>
      <w:r w:rsidR="00CA5BA2">
        <w:rPr>
          <w:lang w:eastAsia="en-AU"/>
        </w:rPr>
        <w:t>Accreditation Standards. Within </w:t>
      </w:r>
      <w:r w:rsidRPr="00070D1A">
        <w:rPr>
          <w:lang w:eastAsia="en-AU"/>
        </w:rPr>
        <w:t xml:space="preserve">this national framework, program content is the responsibility of each higher education provider. </w:t>
      </w:r>
    </w:p>
    <w:p w14:paraId="568ADDB4" w14:textId="42281F08" w:rsidR="0030551A" w:rsidRPr="00070D1A" w:rsidRDefault="0030551A" w:rsidP="0030551A">
      <w:pPr>
        <w:spacing w:after="160" w:line="259" w:lineRule="auto"/>
        <w:rPr>
          <w:lang w:eastAsia="en-AU"/>
        </w:rPr>
      </w:pPr>
      <w:r>
        <w:rPr>
          <w:lang w:eastAsia="en-AU"/>
        </w:rPr>
        <w:br w:type="page"/>
      </w:r>
    </w:p>
    <w:p w14:paraId="7A1CA45F" w14:textId="14003F1D" w:rsidR="00070D1A" w:rsidRPr="00070D1A" w:rsidRDefault="00070D1A" w:rsidP="00070D1A">
      <w:pPr>
        <w:spacing w:after="240"/>
      </w:pPr>
      <w:r w:rsidRPr="00070D1A">
        <w:rPr>
          <w:lang w:eastAsia="en-AU"/>
        </w:rPr>
        <w:lastRenderedPageBreak/>
        <w:t>Amendment of the Accreditation Standards requires the agreement of all</w:t>
      </w:r>
      <w:r w:rsidR="00932DFA">
        <w:rPr>
          <w:lang w:eastAsia="en-AU"/>
        </w:rPr>
        <w:t xml:space="preserve"> Australian </w:t>
      </w:r>
      <w:r w:rsidRPr="00070D1A">
        <w:rPr>
          <w:lang w:eastAsia="en-AU"/>
        </w:rPr>
        <w:t>education ministers through the Education Mi</w:t>
      </w:r>
      <w:r w:rsidR="00932DFA">
        <w:rPr>
          <w:lang w:eastAsia="en-AU"/>
        </w:rPr>
        <w:t>nisters Meeting. The Australian </w:t>
      </w:r>
      <w:r w:rsidRPr="00070D1A">
        <w:rPr>
          <w:lang w:eastAsia="en-AU"/>
        </w:rPr>
        <w:t xml:space="preserve">Institute for Teaching and </w:t>
      </w:r>
      <w:r w:rsidRPr="00070D1A">
        <w:t>School Leadership works with state and territory regulatory authorities to implement any changes once agreed by education ministers.</w:t>
      </w:r>
    </w:p>
    <w:p w14:paraId="37DACD1E" w14:textId="7C86777F" w:rsidR="00070D1A" w:rsidRPr="00070D1A" w:rsidRDefault="00070D1A" w:rsidP="00070D1A">
      <w:pPr>
        <w:spacing w:after="240"/>
      </w:pPr>
      <w:r w:rsidRPr="00070D1A">
        <w:t xml:space="preserve">The </w:t>
      </w:r>
      <w:r w:rsidR="00B62FDB">
        <w:t>Australian</w:t>
      </w:r>
      <w:r w:rsidR="00B62FDB" w:rsidRPr="00070D1A" w:rsidDel="00243381">
        <w:t xml:space="preserve"> </w:t>
      </w:r>
      <w:r w:rsidRPr="00070D1A">
        <w:t xml:space="preserve">Government supports the provision of quality professional development for teachers. High quality professional learning for teachers is primarily a state and territory responsibility involving teacher regulatory authorities, government and non-government education departments, schools and their teaching staff. The professional development requirements tied to teacher registration are a matter for state and territory teacher regulatory bodies. </w:t>
      </w:r>
    </w:p>
    <w:p w14:paraId="25FD7EBF" w14:textId="2E6BD46C" w:rsidR="007F6EE6" w:rsidRDefault="00243381" w:rsidP="0030551A">
      <w:pPr>
        <w:spacing w:after="240"/>
      </w:pPr>
      <w:r>
        <w:rPr>
          <w:iCs/>
        </w:rPr>
        <w:t xml:space="preserve">The </w:t>
      </w:r>
      <w:r w:rsidR="00070D1A" w:rsidRPr="00CA5BA2">
        <w:rPr>
          <w:iCs/>
        </w:rPr>
        <w:t>Next Steps: Report of the Quality Initial Teacher Education Review</w:t>
      </w:r>
      <w:r w:rsidR="00064003">
        <w:rPr>
          <w:iCs/>
        </w:rPr>
        <w:t xml:space="preserve"> (QITE Review)</w:t>
      </w:r>
      <w:r w:rsidR="00070D1A" w:rsidRPr="00CA5BA2">
        <w:t>,</w:t>
      </w:r>
      <w:r w:rsidR="00070D1A" w:rsidRPr="00070D1A">
        <w:t xml:space="preserve"> released on 24</w:t>
      </w:r>
      <w:r>
        <w:t> </w:t>
      </w:r>
      <w:r w:rsidR="00CA5BA2">
        <w:t xml:space="preserve">February 2022, recommended </w:t>
      </w:r>
      <w:r w:rsidR="00070D1A" w:rsidRPr="00070D1A">
        <w:t>the Accred</w:t>
      </w:r>
      <w:r w:rsidR="00932DFA">
        <w:t>itation Standards be amended to </w:t>
      </w:r>
      <w:r w:rsidR="00070D1A" w:rsidRPr="00070D1A">
        <w:t>ensure</w:t>
      </w:r>
      <w:r w:rsidR="00064003">
        <w:t xml:space="preserve"> initial teacher education g</w:t>
      </w:r>
      <w:r w:rsidR="00070D1A" w:rsidRPr="00070D1A">
        <w:t>raduates are taught suffici</w:t>
      </w:r>
      <w:r w:rsidR="00932DFA">
        <w:t>ent evidence-based practices to </w:t>
      </w:r>
      <w:r w:rsidR="00070D1A" w:rsidRPr="00070D1A">
        <w:t>meet the Teacher Standards and empower them with the tools to lead a classroom, including in relation to supporting diverse learners and students with disability (Recommendation 7</w:t>
      </w:r>
      <w:r w:rsidR="001D0442">
        <w:t xml:space="preserve"> </w:t>
      </w:r>
      <w:r w:rsidR="00064003">
        <w:t xml:space="preserve">of the QITE Review </w:t>
      </w:r>
      <w:r w:rsidR="001D0442">
        <w:t>refers</w:t>
      </w:r>
      <w:r w:rsidR="00CA5BA2">
        <w:t>). The report also delivered a</w:t>
      </w:r>
      <w:r w:rsidR="00070D1A" w:rsidRPr="00070D1A">
        <w:t xml:space="preserve"> </w:t>
      </w:r>
      <w:r w:rsidR="009269B3">
        <w:t>f</w:t>
      </w:r>
      <w:r w:rsidR="00070D1A" w:rsidRPr="00070D1A">
        <w:t>inding for higher education providers to explore the potential for micro-c</w:t>
      </w:r>
      <w:r w:rsidR="00D060E0">
        <w:t>redentials and short courses to </w:t>
      </w:r>
      <w:r w:rsidR="00070D1A" w:rsidRPr="00070D1A">
        <w:t>provide quality access to opportunities to enhance teacher capability in areas where teachers feel they need additional support, including tea</w:t>
      </w:r>
      <w:r w:rsidR="00134931">
        <w:t>ching diverse learners (Finding </w:t>
      </w:r>
      <w:r w:rsidR="00070D1A" w:rsidRPr="00070D1A">
        <w:t>7</w:t>
      </w:r>
      <w:r w:rsidR="00D060E0">
        <w:t> of </w:t>
      </w:r>
      <w:r w:rsidR="009269B3">
        <w:t>the</w:t>
      </w:r>
      <w:r w:rsidR="00064003">
        <w:t xml:space="preserve"> QITE</w:t>
      </w:r>
      <w:r w:rsidR="009269B3">
        <w:t xml:space="preserve"> Review</w:t>
      </w:r>
      <w:r w:rsidR="00CA5BA2">
        <w:t xml:space="preserve"> refers</w:t>
      </w:r>
      <w:r w:rsidR="00070D1A" w:rsidRPr="00070D1A">
        <w:t xml:space="preserve">). The </w:t>
      </w:r>
      <w:r w:rsidR="00B62FDB">
        <w:t>Australian</w:t>
      </w:r>
      <w:r w:rsidR="00B62FDB" w:rsidRPr="00070D1A">
        <w:t xml:space="preserve"> </w:t>
      </w:r>
      <w:r w:rsidR="00070D1A" w:rsidRPr="00070D1A">
        <w:t xml:space="preserve">Government is continuing to consider its response to the recommendations of the </w:t>
      </w:r>
      <w:r w:rsidR="00064003">
        <w:t>QITE</w:t>
      </w:r>
      <w:r w:rsidR="00070D1A" w:rsidRPr="00070D1A">
        <w:t xml:space="preserve"> Review.</w:t>
      </w:r>
    </w:p>
    <w:tbl>
      <w:tblPr>
        <w:tblStyle w:val="TableGrid"/>
        <w:tblW w:w="0" w:type="auto"/>
        <w:tblLook w:val="04A0" w:firstRow="1" w:lastRow="0" w:firstColumn="1" w:lastColumn="0" w:noHBand="0" w:noVBand="1"/>
        <w:tblDescription w:val="Decorative"/>
      </w:tblPr>
      <w:tblGrid>
        <w:gridCol w:w="9016"/>
      </w:tblGrid>
      <w:tr w:rsidR="007F6EE6" w14:paraId="40CB85F4" w14:textId="77777777" w:rsidTr="007F6EE6">
        <w:tc>
          <w:tcPr>
            <w:tcW w:w="9016" w:type="dxa"/>
          </w:tcPr>
          <w:p w14:paraId="36F1E30D" w14:textId="77777777" w:rsidR="007F6EE6" w:rsidRPr="007F6EE6" w:rsidRDefault="007F6EE6" w:rsidP="007F6EE6">
            <w:pPr>
              <w:spacing w:before="1" w:line="276" w:lineRule="auto"/>
              <w:jc w:val="both"/>
              <w:rPr>
                <w:b/>
              </w:rPr>
            </w:pPr>
            <w:r w:rsidRPr="007F6EE6">
              <w:rPr>
                <w:b/>
              </w:rPr>
              <w:t>Recommendation 53</w:t>
            </w:r>
          </w:p>
          <w:p w14:paraId="5136DD10" w14:textId="78A02BE2" w:rsidR="007F6EE6" w:rsidRDefault="007F6EE6" w:rsidP="007F6EE6">
            <w:r w:rsidRPr="00087DA3">
              <w:t>The committee recommends that the Australian Institute of Teaching and School</w:t>
            </w:r>
            <w:r w:rsidRPr="00087DA3">
              <w:rPr>
                <w:spacing w:val="-7"/>
              </w:rPr>
              <w:t xml:space="preserve"> </w:t>
            </w:r>
            <w:r w:rsidRPr="00087DA3">
              <w:t>Leadership</w:t>
            </w:r>
            <w:r w:rsidRPr="00087DA3">
              <w:rPr>
                <w:spacing w:val="-5"/>
              </w:rPr>
              <w:t xml:space="preserve"> </w:t>
            </w:r>
            <w:r w:rsidRPr="00087DA3">
              <w:t>work</w:t>
            </w:r>
            <w:r w:rsidRPr="00087DA3">
              <w:rPr>
                <w:spacing w:val="-5"/>
              </w:rPr>
              <w:t xml:space="preserve"> </w:t>
            </w:r>
            <w:r w:rsidRPr="00087DA3">
              <w:t>with</w:t>
            </w:r>
            <w:r w:rsidRPr="00087DA3">
              <w:rPr>
                <w:spacing w:val="-5"/>
              </w:rPr>
              <w:t xml:space="preserve"> </w:t>
            </w:r>
            <w:r w:rsidRPr="00087DA3">
              <w:t>relevant</w:t>
            </w:r>
            <w:r w:rsidRPr="00087DA3">
              <w:rPr>
                <w:spacing w:val="-6"/>
              </w:rPr>
              <w:t xml:space="preserve"> </w:t>
            </w:r>
            <w:r w:rsidRPr="00087DA3">
              <w:t>stakeholders</w:t>
            </w:r>
            <w:r w:rsidRPr="00087DA3">
              <w:rPr>
                <w:spacing w:val="-6"/>
              </w:rPr>
              <w:t xml:space="preserve"> </w:t>
            </w:r>
            <w:r w:rsidRPr="00087DA3">
              <w:t>create</w:t>
            </w:r>
            <w:r w:rsidRPr="00087DA3">
              <w:rPr>
                <w:spacing w:val="-5"/>
              </w:rPr>
              <w:t xml:space="preserve"> </w:t>
            </w:r>
            <w:r w:rsidRPr="00087DA3">
              <w:t>additional</w:t>
            </w:r>
            <w:r w:rsidRPr="00087DA3">
              <w:rPr>
                <w:spacing w:val="-6"/>
              </w:rPr>
              <w:t xml:space="preserve"> </w:t>
            </w:r>
            <w:r w:rsidRPr="00087DA3">
              <w:t>autism- related Illustrations of Practice—across all domains of teaching and for all career stages—to help teachers better support autistic students in classrooms and</w:t>
            </w:r>
            <w:r w:rsidRPr="00087DA3">
              <w:rPr>
                <w:spacing w:val="-2"/>
              </w:rPr>
              <w:t xml:space="preserve"> </w:t>
            </w:r>
            <w:r w:rsidRPr="00087DA3">
              <w:t>schools.</w:t>
            </w:r>
          </w:p>
        </w:tc>
      </w:tr>
    </w:tbl>
    <w:p w14:paraId="4317F9A3" w14:textId="77777777" w:rsidR="0030551A" w:rsidRPr="005B2C16" w:rsidRDefault="0030551A" w:rsidP="0030551A">
      <w:pPr>
        <w:tabs>
          <w:tab w:val="center" w:pos="4513"/>
        </w:tabs>
        <w:autoSpaceDE w:val="0"/>
        <w:autoSpaceDN w:val="0"/>
        <w:rPr>
          <w:bCs/>
        </w:rPr>
      </w:pPr>
    </w:p>
    <w:p w14:paraId="75D484E7" w14:textId="27E97AC7" w:rsidR="0030551A" w:rsidRPr="0030551A" w:rsidRDefault="00BF3282" w:rsidP="0030551A">
      <w:pPr>
        <w:rPr>
          <w:b/>
          <w:sz w:val="22"/>
          <w:szCs w:val="22"/>
        </w:rPr>
      </w:pPr>
      <w:r w:rsidRPr="0030551A">
        <w:rPr>
          <w:b/>
          <w:sz w:val="22"/>
          <w:szCs w:val="22"/>
        </w:rPr>
        <w:t>Support</w:t>
      </w:r>
      <w:r w:rsidR="00134931" w:rsidRPr="0030551A">
        <w:rPr>
          <w:b/>
          <w:sz w:val="22"/>
          <w:szCs w:val="22"/>
        </w:rPr>
        <w:t>ed</w:t>
      </w:r>
      <w:r w:rsidR="00070D1A" w:rsidRPr="0030551A">
        <w:rPr>
          <w:b/>
          <w:sz w:val="22"/>
          <w:szCs w:val="22"/>
        </w:rPr>
        <w:t xml:space="preserve"> in principle</w:t>
      </w:r>
    </w:p>
    <w:p w14:paraId="09BF4967" w14:textId="7DCB2843" w:rsidR="00070D1A" w:rsidRPr="001D0442" w:rsidRDefault="00070D1A" w:rsidP="0030551A">
      <w:pPr>
        <w:tabs>
          <w:tab w:val="center" w:pos="4513"/>
        </w:tabs>
        <w:autoSpaceDE w:val="0"/>
        <w:autoSpaceDN w:val="0"/>
        <w:rPr>
          <w:b/>
          <w:bCs/>
        </w:rPr>
      </w:pPr>
      <w:r w:rsidRPr="00070D1A">
        <w:t xml:space="preserve">In support of the recommendations of the 2020 Review of the </w:t>
      </w:r>
      <w:r w:rsidRPr="00070D1A">
        <w:rPr>
          <w:i/>
          <w:iCs/>
        </w:rPr>
        <w:t>Disability Standards for Education 2005</w:t>
      </w:r>
      <w:r w:rsidRPr="00070D1A">
        <w:t xml:space="preserve"> (the Standards), the</w:t>
      </w:r>
      <w:r w:rsidR="00583A3A">
        <w:t xml:space="preserve"> then</w:t>
      </w:r>
      <w:r w:rsidRPr="00070D1A">
        <w:t xml:space="preserve"> Minister</w:t>
      </w:r>
      <w:r w:rsidR="006B27A6">
        <w:t xml:space="preserve"> for Education </w:t>
      </w:r>
      <w:r w:rsidRPr="00070D1A">
        <w:t xml:space="preserve">commissioned </w:t>
      </w:r>
      <w:r w:rsidR="00134931">
        <w:t xml:space="preserve">the </w:t>
      </w:r>
      <w:r w:rsidR="007E20F3">
        <w:t>Australian </w:t>
      </w:r>
      <w:r w:rsidRPr="00070D1A">
        <w:t xml:space="preserve">Institute </w:t>
      </w:r>
      <w:r w:rsidR="00215B0B">
        <w:t xml:space="preserve">for </w:t>
      </w:r>
      <w:r w:rsidRPr="00070D1A">
        <w:t>Teaching and School Leadership</w:t>
      </w:r>
      <w:r w:rsidR="00134931">
        <w:t xml:space="preserve"> (AITSL)</w:t>
      </w:r>
      <w:r w:rsidRPr="00070D1A">
        <w:t xml:space="preserve"> to undertake mapping and analysis of relevant national schooling standards and frameworks to determine the extent these support the achievement of the objectives of the Standards. </w:t>
      </w:r>
    </w:p>
    <w:p w14:paraId="0A6FA7E6" w14:textId="31F0DC68" w:rsidR="00070D1A" w:rsidRPr="00070D1A" w:rsidRDefault="00070D1A" w:rsidP="00134931">
      <w:pPr>
        <w:autoSpaceDE w:val="0"/>
        <w:autoSpaceDN w:val="0"/>
        <w:spacing w:after="240"/>
        <w:ind w:right="717"/>
        <w:contextualSpacing/>
      </w:pPr>
      <w:r w:rsidRPr="00583A3A">
        <w:t xml:space="preserve">The </w:t>
      </w:r>
      <w:r w:rsidR="00B62FDB" w:rsidRPr="00583A3A">
        <w:t xml:space="preserve">Australian </w:t>
      </w:r>
      <w:r w:rsidRPr="00583A3A">
        <w:t>Government has subsequently engaged</w:t>
      </w:r>
      <w:r w:rsidR="00134931" w:rsidRPr="00583A3A">
        <w:t xml:space="preserve"> </w:t>
      </w:r>
      <w:r w:rsidRPr="00583A3A">
        <w:t>AITSL</w:t>
      </w:r>
      <w:r w:rsidR="00134931" w:rsidRPr="00583A3A">
        <w:t xml:space="preserve"> </w:t>
      </w:r>
      <w:r w:rsidRPr="00583A3A">
        <w:t>to undertake work</w:t>
      </w:r>
      <w:r w:rsidRPr="00070D1A">
        <w:t xml:space="preserve"> </w:t>
      </w:r>
      <w:r w:rsidR="00134931">
        <w:t>stemming</w:t>
      </w:r>
      <w:r w:rsidRPr="00070D1A">
        <w:t xml:space="preserve"> from that mapping and analysis which is relevant </w:t>
      </w:r>
      <w:r w:rsidR="001D0442">
        <w:t>for this</w:t>
      </w:r>
      <w:r w:rsidRPr="00070D1A">
        <w:t xml:space="preserve"> </w:t>
      </w:r>
      <w:r w:rsidR="001D0442">
        <w:t>r</w:t>
      </w:r>
      <w:r w:rsidRPr="00070D1A">
        <w:t>ecommendation. This work include</w:t>
      </w:r>
      <w:r w:rsidR="00327527">
        <w:t>s</w:t>
      </w:r>
      <w:r w:rsidRPr="00070D1A">
        <w:t>:</w:t>
      </w:r>
    </w:p>
    <w:p w14:paraId="7888CDDC" w14:textId="78B5BB82" w:rsidR="00070D1A" w:rsidRPr="00583A3A" w:rsidRDefault="00327527" w:rsidP="00583A3A">
      <w:pPr>
        <w:pStyle w:val="ListParagraph"/>
        <w:numPr>
          <w:ilvl w:val="0"/>
          <w:numId w:val="7"/>
        </w:numPr>
        <w:spacing w:after="0" w:line="240" w:lineRule="auto"/>
        <w:ind w:left="714" w:hanging="357"/>
        <w:rPr>
          <w:rFonts w:ascii="Times New Roman" w:hAnsi="Times New Roman" w:cs="Times New Roman"/>
          <w:sz w:val="24"/>
          <w:szCs w:val="24"/>
        </w:rPr>
      </w:pPr>
      <w:r w:rsidRPr="00583A3A">
        <w:rPr>
          <w:rFonts w:ascii="Times New Roman" w:hAnsi="Times New Roman" w:cs="Times New Roman"/>
          <w:sz w:val="24"/>
          <w:szCs w:val="24"/>
        </w:rPr>
        <w:t>Elaborations</w:t>
      </w:r>
      <w:r w:rsidR="00070D1A" w:rsidRPr="00583A3A">
        <w:rPr>
          <w:rFonts w:ascii="Times New Roman" w:hAnsi="Times New Roman" w:cs="Times New Roman"/>
          <w:sz w:val="24"/>
          <w:szCs w:val="24"/>
        </w:rPr>
        <w:t xml:space="preserve"> of </w:t>
      </w:r>
      <w:r w:rsidRPr="00583A3A">
        <w:rPr>
          <w:rFonts w:ascii="Times New Roman" w:hAnsi="Times New Roman" w:cs="Times New Roman"/>
          <w:sz w:val="24"/>
          <w:szCs w:val="24"/>
        </w:rPr>
        <w:t xml:space="preserve">the </w:t>
      </w:r>
      <w:r w:rsidR="00070D1A" w:rsidRPr="00583A3A">
        <w:rPr>
          <w:rFonts w:ascii="Times New Roman" w:hAnsi="Times New Roman" w:cs="Times New Roman"/>
          <w:sz w:val="24"/>
          <w:szCs w:val="24"/>
        </w:rPr>
        <w:t xml:space="preserve">Teacher Standards to provide further clarity about the </w:t>
      </w:r>
      <w:r w:rsidR="00E7266F">
        <w:rPr>
          <w:rFonts w:ascii="Times New Roman" w:hAnsi="Times New Roman" w:cs="Times New Roman"/>
          <w:sz w:val="24"/>
          <w:szCs w:val="24"/>
        </w:rPr>
        <w:t>Disability </w:t>
      </w:r>
      <w:r w:rsidR="00070D1A" w:rsidRPr="00583A3A">
        <w:rPr>
          <w:rFonts w:ascii="Times New Roman" w:hAnsi="Times New Roman" w:cs="Times New Roman"/>
          <w:sz w:val="24"/>
          <w:szCs w:val="24"/>
        </w:rPr>
        <w:t>Standards,</w:t>
      </w:r>
      <w:r w:rsidRPr="00583A3A">
        <w:rPr>
          <w:rFonts w:ascii="Times New Roman" w:hAnsi="Times New Roman" w:cs="Times New Roman"/>
          <w:sz w:val="24"/>
          <w:szCs w:val="24"/>
        </w:rPr>
        <w:t xml:space="preserve"> and</w:t>
      </w:r>
      <w:r w:rsidR="00070D1A" w:rsidRPr="00583A3A">
        <w:rPr>
          <w:rFonts w:ascii="Times New Roman" w:hAnsi="Times New Roman" w:cs="Times New Roman"/>
          <w:sz w:val="24"/>
          <w:szCs w:val="24"/>
        </w:rPr>
        <w:t xml:space="preserve"> their implementation in schools and to inform any future changes to the Standards.</w:t>
      </w:r>
    </w:p>
    <w:p w14:paraId="334E70AD" w14:textId="44D72D8A" w:rsidR="00070D1A" w:rsidRPr="00583A3A" w:rsidRDefault="00327527" w:rsidP="00583A3A">
      <w:pPr>
        <w:pStyle w:val="ListParagraph"/>
        <w:numPr>
          <w:ilvl w:val="0"/>
          <w:numId w:val="7"/>
        </w:numPr>
        <w:spacing w:after="0" w:line="240" w:lineRule="auto"/>
        <w:ind w:left="714" w:hanging="357"/>
        <w:rPr>
          <w:rFonts w:ascii="Times New Roman" w:hAnsi="Times New Roman" w:cs="Times New Roman"/>
          <w:sz w:val="24"/>
          <w:szCs w:val="24"/>
        </w:rPr>
      </w:pPr>
      <w:r w:rsidRPr="00583A3A">
        <w:rPr>
          <w:rFonts w:ascii="Times New Roman" w:hAnsi="Times New Roman" w:cs="Times New Roman"/>
          <w:sz w:val="24"/>
          <w:szCs w:val="24"/>
        </w:rPr>
        <w:t>Leadership</w:t>
      </w:r>
      <w:r w:rsidR="00070D1A" w:rsidRPr="00583A3A">
        <w:rPr>
          <w:rFonts w:ascii="Times New Roman" w:hAnsi="Times New Roman" w:cs="Times New Roman"/>
          <w:sz w:val="24"/>
          <w:szCs w:val="24"/>
        </w:rPr>
        <w:t xml:space="preserve"> guid</w:t>
      </w:r>
      <w:r w:rsidRPr="00583A3A">
        <w:rPr>
          <w:rFonts w:ascii="Times New Roman" w:hAnsi="Times New Roman" w:cs="Times New Roman"/>
          <w:sz w:val="24"/>
          <w:szCs w:val="24"/>
        </w:rPr>
        <w:t>es to set out</w:t>
      </w:r>
      <w:r w:rsidR="00070D1A" w:rsidRPr="00583A3A">
        <w:rPr>
          <w:rFonts w:ascii="Times New Roman" w:hAnsi="Times New Roman" w:cs="Times New Roman"/>
          <w:sz w:val="24"/>
          <w:szCs w:val="24"/>
        </w:rPr>
        <w:t xml:space="preserve"> explicit roles, responsibilities and accountability for school leaders with respect to inclusive education and adherence to the </w:t>
      </w:r>
      <w:r w:rsidR="00E7266F">
        <w:rPr>
          <w:rFonts w:ascii="Times New Roman" w:hAnsi="Times New Roman" w:cs="Times New Roman"/>
          <w:sz w:val="24"/>
          <w:szCs w:val="24"/>
        </w:rPr>
        <w:t>Disability </w:t>
      </w:r>
      <w:r w:rsidR="00070D1A" w:rsidRPr="00583A3A">
        <w:rPr>
          <w:rFonts w:ascii="Times New Roman" w:hAnsi="Times New Roman" w:cs="Times New Roman"/>
          <w:sz w:val="24"/>
          <w:szCs w:val="24"/>
        </w:rPr>
        <w:t>Standards</w:t>
      </w:r>
      <w:r w:rsidR="00B0033A" w:rsidRPr="00583A3A">
        <w:rPr>
          <w:rFonts w:ascii="Times New Roman" w:hAnsi="Times New Roman" w:cs="Times New Roman"/>
          <w:sz w:val="24"/>
          <w:szCs w:val="24"/>
        </w:rPr>
        <w:t>.</w:t>
      </w:r>
    </w:p>
    <w:p w14:paraId="63456B25" w14:textId="3D891AB6" w:rsidR="00070D1A" w:rsidRPr="00583A3A" w:rsidRDefault="00070D1A" w:rsidP="00583A3A">
      <w:pPr>
        <w:pStyle w:val="ListParagraph"/>
        <w:numPr>
          <w:ilvl w:val="0"/>
          <w:numId w:val="7"/>
        </w:numPr>
        <w:spacing w:after="0" w:line="240" w:lineRule="auto"/>
        <w:ind w:left="714" w:hanging="357"/>
        <w:rPr>
          <w:rFonts w:ascii="Times New Roman" w:hAnsi="Times New Roman" w:cs="Times New Roman"/>
          <w:sz w:val="24"/>
          <w:szCs w:val="24"/>
        </w:rPr>
      </w:pPr>
      <w:r w:rsidRPr="00583A3A">
        <w:rPr>
          <w:rFonts w:ascii="Times New Roman" w:hAnsi="Times New Roman" w:cs="Times New Roman"/>
          <w:sz w:val="24"/>
          <w:szCs w:val="24"/>
        </w:rPr>
        <w:t xml:space="preserve">Expanding the range of </w:t>
      </w:r>
      <w:r w:rsidR="001D0442" w:rsidRPr="00583A3A">
        <w:rPr>
          <w:rFonts w:ascii="Times New Roman" w:hAnsi="Times New Roman" w:cs="Times New Roman"/>
          <w:sz w:val="24"/>
          <w:szCs w:val="24"/>
        </w:rPr>
        <w:t>‘</w:t>
      </w:r>
      <w:r w:rsidRPr="00583A3A">
        <w:rPr>
          <w:rFonts w:ascii="Times New Roman" w:hAnsi="Times New Roman" w:cs="Times New Roman"/>
          <w:sz w:val="24"/>
          <w:szCs w:val="24"/>
        </w:rPr>
        <w:t>In the Classroom</w:t>
      </w:r>
      <w:r w:rsidR="001D0442" w:rsidRPr="00583A3A">
        <w:rPr>
          <w:rFonts w:ascii="Times New Roman" w:hAnsi="Times New Roman" w:cs="Times New Roman"/>
          <w:sz w:val="24"/>
          <w:szCs w:val="24"/>
        </w:rPr>
        <w:t>’</w:t>
      </w:r>
      <w:r w:rsidRPr="00583A3A">
        <w:rPr>
          <w:rFonts w:ascii="Times New Roman" w:hAnsi="Times New Roman" w:cs="Times New Roman"/>
          <w:sz w:val="24"/>
          <w:szCs w:val="24"/>
        </w:rPr>
        <w:t xml:space="preserve"> videos available for teachers and school leaders to include examples focused on determining reasonable adjustments for students with disability. </w:t>
      </w:r>
    </w:p>
    <w:p w14:paraId="320B7CDB" w14:textId="03720B52" w:rsidR="005B12EF" w:rsidRDefault="00C45E42" w:rsidP="00C45E42">
      <w:pPr>
        <w:spacing w:after="160" w:line="259" w:lineRule="auto"/>
      </w:pPr>
      <w:r>
        <w:br w:type="page"/>
      </w:r>
    </w:p>
    <w:p w14:paraId="5FE29818" w14:textId="3F8484F5" w:rsidR="00B0033A" w:rsidRPr="0030551A" w:rsidRDefault="00993695" w:rsidP="0030551A">
      <w:pPr>
        <w:spacing w:after="240"/>
      </w:pPr>
      <w:r>
        <w:lastRenderedPageBreak/>
        <w:t>In</w:t>
      </w:r>
      <w:r w:rsidR="00070D1A" w:rsidRPr="00070D1A">
        <w:t xml:space="preserve"> support of the reco</w:t>
      </w:r>
      <w:r>
        <w:t>mmendations of the Review of the Standards, the </w:t>
      </w:r>
      <w:r w:rsidR="00B62FDB">
        <w:t>Australian</w:t>
      </w:r>
      <w:r>
        <w:t> </w:t>
      </w:r>
      <w:r w:rsidR="00070D1A" w:rsidRPr="00070D1A">
        <w:t xml:space="preserve">Government has engaged Education Services </w:t>
      </w:r>
      <w:r w:rsidR="00E7266F">
        <w:t>Australia to develop a suite of </w:t>
      </w:r>
      <w:r w:rsidR="00070D1A" w:rsidRPr="00070D1A">
        <w:t>case studies (leveraging the existing case studies relating to the N</w:t>
      </w:r>
      <w:r w:rsidR="001D0442">
        <w:t>ational</w:t>
      </w:r>
      <w:r w:rsidR="00473344">
        <w:t>ly</w:t>
      </w:r>
      <w:r w:rsidR="001D0442">
        <w:t xml:space="preserve"> </w:t>
      </w:r>
      <w:r w:rsidR="00070D1A" w:rsidRPr="00070D1A">
        <w:t>C</w:t>
      </w:r>
      <w:r w:rsidR="001D0442">
        <w:t xml:space="preserve">onsistent </w:t>
      </w:r>
      <w:r w:rsidR="00070D1A" w:rsidRPr="00070D1A">
        <w:t>C</w:t>
      </w:r>
      <w:r w:rsidR="001D0442">
        <w:t xml:space="preserve">ollection of </w:t>
      </w:r>
      <w:r w:rsidR="00070D1A" w:rsidRPr="00070D1A">
        <w:t>D</w:t>
      </w:r>
      <w:r w:rsidR="001D0442">
        <w:t>ata (NCCD)</w:t>
      </w:r>
      <w:r w:rsidR="00070D1A" w:rsidRPr="00070D1A">
        <w:t>) to provide practical examples for</w:t>
      </w:r>
      <w:r w:rsidR="00E7266F">
        <w:t xml:space="preserve"> teachers and school leaders to </w:t>
      </w:r>
      <w:r w:rsidR="00070D1A" w:rsidRPr="00070D1A">
        <w:t>support them in understanding and discharging their obligat</w:t>
      </w:r>
      <w:r>
        <w:t>ions under the Standards. There </w:t>
      </w:r>
      <w:r w:rsidR="00070D1A" w:rsidRPr="00070D1A">
        <w:t xml:space="preserve">are already </w:t>
      </w:r>
      <w:r w:rsidR="00070D1A" w:rsidRPr="00993695">
        <w:t>nine autism specific illustrations of practice</w:t>
      </w:r>
      <w:r w:rsidR="00070D1A" w:rsidRPr="00070D1A">
        <w:t xml:space="preserve"> on the NCCD portal.</w:t>
      </w:r>
    </w:p>
    <w:p w14:paraId="575B7271" w14:textId="1ECDA60D" w:rsidR="00637FAE" w:rsidRPr="00070D1A" w:rsidRDefault="007E20F3" w:rsidP="0030551A">
      <w:pPr>
        <w:spacing w:after="240"/>
      </w:pPr>
      <w:r>
        <w:t xml:space="preserve">The </w:t>
      </w:r>
      <w:r w:rsidR="00070D1A" w:rsidRPr="00993695">
        <w:t>Positive Partnerships program</w:t>
      </w:r>
      <w:r w:rsidR="00070D1A" w:rsidRPr="00070D1A">
        <w:t xml:space="preserve"> to support school-aged </w:t>
      </w:r>
      <w:r w:rsidR="00F25322">
        <w:t xml:space="preserve">autistic </w:t>
      </w:r>
      <w:r w:rsidR="00E7266F">
        <w:t>students has developed a </w:t>
      </w:r>
      <w:r w:rsidR="00070D1A" w:rsidRPr="00070D1A">
        <w:t xml:space="preserve">range of face-to-face and </w:t>
      </w:r>
      <w:r w:rsidR="00070D1A" w:rsidRPr="00993695">
        <w:t>online</w:t>
      </w:r>
      <w:r w:rsidR="00070D1A" w:rsidRPr="00070D1A">
        <w:t xml:space="preserve"> autism-specific short courses to help teachers better support autistic students in classrooms and schools</w:t>
      </w:r>
      <w:r>
        <w:t>,</w:t>
      </w:r>
      <w:r w:rsidR="00070D1A" w:rsidRPr="00070D1A">
        <w:t xml:space="preserve"> including:</w:t>
      </w:r>
    </w:p>
    <w:p w14:paraId="2269CDE3" w14:textId="0F104F5F" w:rsidR="00070D1A" w:rsidRPr="00583A3A" w:rsidRDefault="001D0442" w:rsidP="0030551A">
      <w:pPr>
        <w:pStyle w:val="ListParagraph"/>
        <w:numPr>
          <w:ilvl w:val="0"/>
          <w:numId w:val="7"/>
        </w:numPr>
        <w:spacing w:after="0" w:line="240" w:lineRule="auto"/>
        <w:ind w:left="714" w:hanging="357"/>
        <w:rPr>
          <w:rFonts w:ascii="Times New Roman" w:hAnsi="Times New Roman" w:cs="Times New Roman"/>
          <w:sz w:val="24"/>
          <w:szCs w:val="24"/>
        </w:rPr>
      </w:pPr>
      <w:r w:rsidRPr="00583A3A">
        <w:rPr>
          <w:rFonts w:ascii="Times New Roman" w:hAnsi="Times New Roman" w:cs="Times New Roman"/>
          <w:sz w:val="24"/>
          <w:szCs w:val="24"/>
        </w:rPr>
        <w:t>Introduction to Autism</w:t>
      </w:r>
    </w:p>
    <w:p w14:paraId="500C556E" w14:textId="77777777" w:rsidR="00070D1A" w:rsidRPr="00583A3A" w:rsidRDefault="00070D1A" w:rsidP="00583A3A">
      <w:pPr>
        <w:pStyle w:val="ListParagraph"/>
        <w:numPr>
          <w:ilvl w:val="0"/>
          <w:numId w:val="7"/>
        </w:numPr>
        <w:spacing w:after="0" w:line="240" w:lineRule="auto"/>
        <w:ind w:left="714" w:hanging="357"/>
        <w:rPr>
          <w:rFonts w:ascii="Times New Roman" w:hAnsi="Times New Roman" w:cs="Times New Roman"/>
          <w:sz w:val="24"/>
          <w:szCs w:val="24"/>
        </w:rPr>
      </w:pPr>
      <w:r w:rsidRPr="00583A3A">
        <w:rPr>
          <w:rFonts w:ascii="Times New Roman" w:hAnsi="Times New Roman" w:cs="Times New Roman"/>
          <w:sz w:val="24"/>
          <w:szCs w:val="24"/>
        </w:rPr>
        <w:t>Introduction to Visual Supports</w:t>
      </w:r>
    </w:p>
    <w:p w14:paraId="0436403F" w14:textId="77777777" w:rsidR="00070D1A" w:rsidRPr="00583A3A" w:rsidRDefault="00070D1A" w:rsidP="00583A3A">
      <w:pPr>
        <w:pStyle w:val="ListParagraph"/>
        <w:numPr>
          <w:ilvl w:val="0"/>
          <w:numId w:val="7"/>
        </w:numPr>
        <w:spacing w:after="0" w:line="240" w:lineRule="auto"/>
        <w:ind w:left="714" w:hanging="357"/>
        <w:rPr>
          <w:rFonts w:ascii="Times New Roman" w:hAnsi="Times New Roman" w:cs="Times New Roman"/>
          <w:sz w:val="24"/>
          <w:szCs w:val="24"/>
        </w:rPr>
      </w:pPr>
      <w:r w:rsidRPr="00583A3A">
        <w:rPr>
          <w:rFonts w:ascii="Times New Roman" w:hAnsi="Times New Roman" w:cs="Times New Roman"/>
          <w:sz w:val="24"/>
          <w:szCs w:val="24"/>
        </w:rPr>
        <w:t>Introduction to the Planning Tool</w:t>
      </w:r>
    </w:p>
    <w:p w14:paraId="304B57DA" w14:textId="77777777" w:rsidR="00070D1A" w:rsidRPr="00583A3A" w:rsidRDefault="00070D1A" w:rsidP="00583A3A">
      <w:pPr>
        <w:pStyle w:val="ListParagraph"/>
        <w:numPr>
          <w:ilvl w:val="0"/>
          <w:numId w:val="7"/>
        </w:numPr>
        <w:spacing w:after="0" w:line="240" w:lineRule="auto"/>
        <w:ind w:left="714" w:hanging="357"/>
        <w:rPr>
          <w:rFonts w:ascii="Times New Roman" w:hAnsi="Times New Roman" w:cs="Times New Roman"/>
          <w:sz w:val="24"/>
          <w:szCs w:val="24"/>
        </w:rPr>
      </w:pPr>
      <w:r w:rsidRPr="00583A3A">
        <w:rPr>
          <w:rFonts w:ascii="Times New Roman" w:hAnsi="Times New Roman" w:cs="Times New Roman"/>
          <w:sz w:val="24"/>
          <w:szCs w:val="24"/>
        </w:rPr>
        <w:t>Introduction to Positive Behaviour Support</w:t>
      </w:r>
    </w:p>
    <w:p w14:paraId="55760B0E" w14:textId="77777777" w:rsidR="00070D1A" w:rsidRPr="00583A3A" w:rsidRDefault="00070D1A" w:rsidP="00583A3A">
      <w:pPr>
        <w:pStyle w:val="ListParagraph"/>
        <w:numPr>
          <w:ilvl w:val="0"/>
          <w:numId w:val="7"/>
        </w:numPr>
        <w:spacing w:after="0" w:line="240" w:lineRule="auto"/>
        <w:ind w:left="714" w:hanging="357"/>
        <w:rPr>
          <w:rFonts w:ascii="Times New Roman" w:hAnsi="Times New Roman" w:cs="Times New Roman"/>
          <w:sz w:val="24"/>
          <w:szCs w:val="24"/>
        </w:rPr>
      </w:pPr>
      <w:r w:rsidRPr="00583A3A">
        <w:rPr>
          <w:rFonts w:ascii="Times New Roman" w:hAnsi="Times New Roman" w:cs="Times New Roman"/>
          <w:sz w:val="24"/>
          <w:szCs w:val="24"/>
        </w:rPr>
        <w:t>Understanding Sensory Processing</w:t>
      </w:r>
    </w:p>
    <w:p w14:paraId="0BB6B360" w14:textId="716D90DA" w:rsidR="0030551A" w:rsidRDefault="00070D1A" w:rsidP="00DA7E3D">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583A3A">
        <w:rPr>
          <w:rFonts w:ascii="Times New Roman" w:hAnsi="Times New Roman" w:cs="Times New Roman"/>
          <w:sz w:val="24"/>
          <w:szCs w:val="24"/>
        </w:rPr>
        <w:t>Supporting Su</w:t>
      </w:r>
      <w:r w:rsidR="00E7266F">
        <w:rPr>
          <w:rFonts w:ascii="Times New Roman" w:hAnsi="Times New Roman" w:cs="Times New Roman"/>
          <w:sz w:val="24"/>
          <w:szCs w:val="24"/>
        </w:rPr>
        <w:t>ccessful Transitions and Change</w:t>
      </w:r>
    </w:p>
    <w:p w14:paraId="1A339633" w14:textId="5928C266" w:rsidR="007F6EE6" w:rsidRDefault="00070D1A" w:rsidP="00DA7E3D">
      <w:pPr>
        <w:spacing w:after="240"/>
      </w:pPr>
      <w:r w:rsidRPr="00070D1A">
        <w:t>There is also a specific m</w:t>
      </w:r>
      <w:r w:rsidR="007E20F3">
        <w:t xml:space="preserve">odule for teachers </w:t>
      </w:r>
      <w:r w:rsidRPr="00070D1A">
        <w:t>and teacher assistants.</w:t>
      </w:r>
      <w:r w:rsidR="00637FAE">
        <w:t xml:space="preserve"> </w:t>
      </w:r>
      <w:r w:rsidRPr="00070D1A">
        <w:t>These courses can be used across all domains of teaching and for all career stages. More than 21,000 autism-specific modules were completed in 2021, mainly by teachers and support staff.</w:t>
      </w:r>
    </w:p>
    <w:tbl>
      <w:tblPr>
        <w:tblStyle w:val="TableGrid"/>
        <w:tblW w:w="0" w:type="auto"/>
        <w:tblLook w:val="04A0" w:firstRow="1" w:lastRow="0" w:firstColumn="1" w:lastColumn="0" w:noHBand="0" w:noVBand="1"/>
        <w:tblDescription w:val="Decorative"/>
      </w:tblPr>
      <w:tblGrid>
        <w:gridCol w:w="9016"/>
      </w:tblGrid>
      <w:tr w:rsidR="007F6EE6" w14:paraId="0A2201F0" w14:textId="77777777" w:rsidTr="007F6EE6">
        <w:tc>
          <w:tcPr>
            <w:tcW w:w="9016" w:type="dxa"/>
          </w:tcPr>
          <w:p w14:paraId="554F71BA" w14:textId="77777777" w:rsidR="007F6EE6" w:rsidRPr="007F6EE6" w:rsidRDefault="007F6EE6" w:rsidP="007F6EE6">
            <w:pPr>
              <w:spacing w:before="1" w:line="276" w:lineRule="auto"/>
              <w:jc w:val="both"/>
              <w:rPr>
                <w:b/>
              </w:rPr>
            </w:pPr>
            <w:r w:rsidRPr="007F6EE6">
              <w:rPr>
                <w:b/>
              </w:rPr>
              <w:t>Recommendation 54</w:t>
            </w:r>
          </w:p>
          <w:p w14:paraId="7E75D965" w14:textId="63CAC549" w:rsidR="007F6EE6" w:rsidRDefault="007F6EE6" w:rsidP="007F6EE6">
            <w:r w:rsidRPr="00087DA3">
              <w:t>The committee recommends that the Department of Education, Skills and Employment works with state and territory governments and the non- government school sector to develop clear guidance on the schooling options available for autistic students so that parents and carers can make more informed</w:t>
            </w:r>
            <w:r w:rsidRPr="00087DA3">
              <w:rPr>
                <w:spacing w:val="30"/>
              </w:rPr>
              <w:t xml:space="preserve"> </w:t>
            </w:r>
            <w:r w:rsidRPr="00087DA3">
              <w:t>choices.</w:t>
            </w:r>
            <w:r w:rsidRPr="00087DA3">
              <w:rPr>
                <w:spacing w:val="30"/>
              </w:rPr>
              <w:t xml:space="preserve"> </w:t>
            </w:r>
            <w:r w:rsidRPr="00087DA3">
              <w:t>This</w:t>
            </w:r>
            <w:r w:rsidRPr="00087DA3">
              <w:rPr>
                <w:spacing w:val="29"/>
              </w:rPr>
              <w:t xml:space="preserve"> </w:t>
            </w:r>
            <w:r w:rsidRPr="00087DA3">
              <w:t>should</w:t>
            </w:r>
            <w:r w:rsidRPr="00087DA3">
              <w:rPr>
                <w:spacing w:val="30"/>
              </w:rPr>
              <w:t xml:space="preserve"> </w:t>
            </w:r>
            <w:r w:rsidRPr="00087DA3">
              <w:t>include</w:t>
            </w:r>
            <w:r w:rsidRPr="00087DA3">
              <w:rPr>
                <w:spacing w:val="31"/>
              </w:rPr>
              <w:t xml:space="preserve"> </w:t>
            </w:r>
            <w:r w:rsidRPr="00087DA3">
              <w:t>information</w:t>
            </w:r>
            <w:r w:rsidRPr="00087DA3">
              <w:rPr>
                <w:spacing w:val="30"/>
              </w:rPr>
              <w:t xml:space="preserve"> </w:t>
            </w:r>
            <w:r w:rsidRPr="00087DA3">
              <w:t>about</w:t>
            </w:r>
            <w:r w:rsidRPr="00087DA3">
              <w:rPr>
                <w:spacing w:val="29"/>
              </w:rPr>
              <w:t xml:space="preserve"> </w:t>
            </w:r>
            <w:r w:rsidRPr="00087DA3">
              <w:t>the</w:t>
            </w:r>
            <w:r w:rsidRPr="00087DA3">
              <w:rPr>
                <w:spacing w:val="30"/>
              </w:rPr>
              <w:t xml:space="preserve"> </w:t>
            </w:r>
            <w:r w:rsidRPr="00087DA3">
              <w:t>role</w:t>
            </w:r>
            <w:r w:rsidRPr="00087DA3">
              <w:rPr>
                <w:spacing w:val="31"/>
              </w:rPr>
              <w:t xml:space="preserve"> </w:t>
            </w:r>
            <w:r w:rsidRPr="00087DA3">
              <w:t>of—and interaction between—mainstream, special schools, autism-specific schools and home-schooling options within the education ecosystem.</w:t>
            </w:r>
          </w:p>
        </w:tc>
      </w:tr>
    </w:tbl>
    <w:p w14:paraId="3D99051B" w14:textId="5EF1C840" w:rsidR="00E7266F" w:rsidRPr="005B2C16" w:rsidRDefault="00E7266F" w:rsidP="00BE5267">
      <w:pPr>
        <w:rPr>
          <w:bCs/>
        </w:rPr>
      </w:pPr>
    </w:p>
    <w:p w14:paraId="20802ABF" w14:textId="407758DE" w:rsidR="00BE5267" w:rsidRPr="00BE5267" w:rsidRDefault="007A28A6" w:rsidP="00BE5267">
      <w:pPr>
        <w:rPr>
          <w:b/>
          <w:bCs/>
          <w:sz w:val="22"/>
          <w:szCs w:val="22"/>
        </w:rPr>
      </w:pPr>
      <w:r>
        <w:rPr>
          <w:b/>
          <w:bCs/>
        </w:rPr>
        <w:t>Support</w:t>
      </w:r>
      <w:r w:rsidR="00244CFB">
        <w:rPr>
          <w:b/>
          <w:bCs/>
        </w:rPr>
        <w:t>ed</w:t>
      </w:r>
      <w:r w:rsidR="00BE5267" w:rsidRPr="00BE5267">
        <w:rPr>
          <w:b/>
          <w:bCs/>
        </w:rPr>
        <w:t xml:space="preserve"> in principle</w:t>
      </w:r>
    </w:p>
    <w:p w14:paraId="69F4A9B4" w14:textId="06D1E402" w:rsidR="00C31603" w:rsidRDefault="00BE5267" w:rsidP="005B2C16">
      <w:pPr>
        <w:spacing w:after="240"/>
      </w:pPr>
      <w:r w:rsidRPr="00BE5267">
        <w:t xml:space="preserve">The </w:t>
      </w:r>
      <w:r w:rsidR="00B62FDB">
        <w:t>Australian</w:t>
      </w:r>
      <w:r w:rsidR="00B62FDB" w:rsidRPr="00BE5267" w:rsidDel="00A917DB">
        <w:t xml:space="preserve"> </w:t>
      </w:r>
      <w:r w:rsidRPr="00BE5267">
        <w:t>Government supports the rights of children and young people with disability to have the same educational opportunities as o</w:t>
      </w:r>
      <w:r w:rsidR="00C31603">
        <w:t>ther school students. While the </w:t>
      </w:r>
      <w:r w:rsidR="00244CFB">
        <w:t>Australian </w:t>
      </w:r>
      <w:r w:rsidRPr="00BE5267">
        <w:t>Government provides substantial</w:t>
      </w:r>
      <w:r w:rsidR="00C31603">
        <w:t xml:space="preserve"> funding for government and non</w:t>
      </w:r>
      <w:r w:rsidR="00C31603">
        <w:noBreakHyphen/>
      </w:r>
      <w:r w:rsidRPr="00BE5267">
        <w:t>government schools</w:t>
      </w:r>
      <w:r w:rsidR="00C31603">
        <w:t>,</w:t>
      </w:r>
      <w:r w:rsidRPr="00BE5267">
        <w:t xml:space="preserve"> and works collaboratively with states and territories in developing national priorities for education, it does not have a direc</w:t>
      </w:r>
      <w:r w:rsidR="00C31603">
        <w:t>t role in the administration or </w:t>
      </w:r>
      <w:r w:rsidRPr="00BE5267">
        <w:t xml:space="preserve">operation of schools. </w:t>
      </w:r>
    </w:p>
    <w:p w14:paraId="12838BC1" w14:textId="7A3B65DD" w:rsidR="00C45E42" w:rsidRDefault="00BE5267" w:rsidP="005B2C16">
      <w:pPr>
        <w:spacing w:after="240"/>
      </w:pPr>
      <w:r w:rsidRPr="00BE5267">
        <w:t>Under Australian constitutional arrangements, responsibility for the delivery of school education, including decisions on schooling options for autistic students, rests with the individual education authorities in each state and territory</w:t>
      </w:r>
      <w:r w:rsidR="005B2C16">
        <w:t>.</w:t>
      </w:r>
    </w:p>
    <w:p w14:paraId="01E4250E" w14:textId="4A858A2E" w:rsidR="00C45E42" w:rsidRDefault="00BE5267" w:rsidP="005B2C16">
      <w:pPr>
        <w:spacing w:after="240"/>
      </w:pPr>
      <w:r w:rsidRPr="00BE5267">
        <w:t xml:space="preserve">As part of the implementation of the recommendations of the 2020 Review of the </w:t>
      </w:r>
      <w:r w:rsidR="00C31603">
        <w:rPr>
          <w:i/>
        </w:rPr>
        <w:t>Disability </w:t>
      </w:r>
      <w:r w:rsidRPr="00244CFB">
        <w:rPr>
          <w:i/>
        </w:rPr>
        <w:t>Standards for Education</w:t>
      </w:r>
      <w:r w:rsidRPr="00BE5267">
        <w:t xml:space="preserve"> 2005</w:t>
      </w:r>
      <w:r w:rsidR="00327527">
        <w:t xml:space="preserve">, </w:t>
      </w:r>
      <w:r w:rsidRPr="00BE5267">
        <w:t>new information</w:t>
      </w:r>
      <w:r w:rsidR="00C31603">
        <w:t xml:space="preserve"> products are being produced to </w:t>
      </w:r>
      <w:r w:rsidRPr="00BE5267">
        <w:t xml:space="preserve">inform children </w:t>
      </w:r>
      <w:r w:rsidR="00327527">
        <w:t xml:space="preserve">and young people </w:t>
      </w:r>
      <w:r w:rsidRPr="00BE5267">
        <w:t xml:space="preserve">with disability and their </w:t>
      </w:r>
      <w:r w:rsidR="00C31603">
        <w:t>families of their rights. These </w:t>
      </w:r>
      <w:r w:rsidRPr="00BE5267">
        <w:t>materials will include guidance for families on how to advocate for thei</w:t>
      </w:r>
      <w:r w:rsidR="00C31603">
        <w:t>r children in </w:t>
      </w:r>
      <w:r w:rsidRPr="00BE5267">
        <w:t>school settings to ensure that they receive the support they</w:t>
      </w:r>
      <w:r w:rsidR="00AB5DCC">
        <w:t xml:space="preserve"> need from their chosen school.</w:t>
      </w:r>
    </w:p>
    <w:p w14:paraId="6136FB64" w14:textId="75F4B132" w:rsidR="00CD6C2A" w:rsidRPr="007F6EE6" w:rsidRDefault="00C45E42" w:rsidP="00C45E42">
      <w:pPr>
        <w:spacing w:after="160" w:line="259" w:lineRule="auto"/>
      </w:pPr>
      <w:r>
        <w:br w:type="page"/>
      </w:r>
    </w:p>
    <w:tbl>
      <w:tblPr>
        <w:tblStyle w:val="TableGrid"/>
        <w:tblW w:w="0" w:type="auto"/>
        <w:tblLook w:val="04A0" w:firstRow="1" w:lastRow="0" w:firstColumn="1" w:lastColumn="0" w:noHBand="0" w:noVBand="1"/>
        <w:tblDescription w:val="Decorative"/>
      </w:tblPr>
      <w:tblGrid>
        <w:gridCol w:w="9016"/>
      </w:tblGrid>
      <w:tr w:rsidR="007F6EE6" w14:paraId="5E3A462F" w14:textId="77777777" w:rsidTr="007F6EE6">
        <w:tc>
          <w:tcPr>
            <w:tcW w:w="9016" w:type="dxa"/>
          </w:tcPr>
          <w:p w14:paraId="4BC5317C" w14:textId="77777777" w:rsidR="007F6EE6" w:rsidRPr="007F6EE6" w:rsidRDefault="007F6EE6" w:rsidP="007F6EE6">
            <w:pPr>
              <w:spacing w:line="276" w:lineRule="auto"/>
              <w:jc w:val="both"/>
              <w:rPr>
                <w:b/>
              </w:rPr>
            </w:pPr>
            <w:r w:rsidRPr="007F6EE6">
              <w:rPr>
                <w:b/>
              </w:rPr>
              <w:lastRenderedPageBreak/>
              <w:t>Recommendation 55</w:t>
            </w:r>
          </w:p>
          <w:p w14:paraId="67083238" w14:textId="77777777" w:rsidR="007F6EE6" w:rsidRPr="009A6980" w:rsidRDefault="007F6EE6" w:rsidP="007F6EE6">
            <w:pPr>
              <w:spacing w:before="60" w:line="276" w:lineRule="auto"/>
              <w:ind w:right="716"/>
            </w:pPr>
            <w:r w:rsidRPr="009A6980">
              <w:t>The committee recommends that the Australian Government coordinate the National Disability Insurance Agency, the Department of Education, Skills and Employment, and state and territory education authorities to:</w:t>
            </w:r>
          </w:p>
          <w:p w14:paraId="79AB69E2" w14:textId="77777777" w:rsidR="007F6EE6" w:rsidRDefault="007F6EE6" w:rsidP="007F6EE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9A6980">
              <w:rPr>
                <w:rFonts w:ascii="Times New Roman" w:hAnsi="Times New Roman" w:cs="Times New Roman"/>
                <w:sz w:val="24"/>
                <w:szCs w:val="24"/>
              </w:rPr>
              <w:t>resolve, as a matter of urgency, any outstanding issues in relationship to the intersection of school funding and the NDIS; and</w:t>
            </w:r>
          </w:p>
          <w:p w14:paraId="656B3E1A" w14:textId="038753ED" w:rsidR="007F6EE6" w:rsidRPr="007F6EE6" w:rsidRDefault="007F6EE6" w:rsidP="007F6EE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D971DD">
              <w:rPr>
                <w:rFonts w:ascii="Times New Roman" w:hAnsi="Times New Roman" w:cs="Times New Roman"/>
                <w:sz w:val="24"/>
                <w:szCs w:val="24"/>
              </w:rPr>
              <w:t>develop clear guidance in relation to the intersection of school funding and the NDIS, including in relation to the provision of NDIS supports within schools.</w:t>
            </w:r>
          </w:p>
        </w:tc>
      </w:tr>
    </w:tbl>
    <w:p w14:paraId="081D46D0" w14:textId="77777777" w:rsidR="007F6EE6" w:rsidRPr="005B2C16" w:rsidRDefault="007F6EE6" w:rsidP="008337E4"/>
    <w:p w14:paraId="5BF238D2" w14:textId="6C66F82C" w:rsidR="0091439E" w:rsidRPr="00877AB4" w:rsidRDefault="0091439E" w:rsidP="0091439E">
      <w:pPr>
        <w:rPr>
          <w:rFonts w:ascii="Calibri" w:hAnsi="Calibri"/>
          <w:b/>
          <w:bCs/>
        </w:rPr>
      </w:pPr>
      <w:r w:rsidRPr="00877AB4">
        <w:rPr>
          <w:b/>
          <w:bCs/>
        </w:rPr>
        <w:t>Support</w:t>
      </w:r>
      <w:r w:rsidR="00CC0A35">
        <w:rPr>
          <w:b/>
          <w:bCs/>
        </w:rPr>
        <w:t>ed</w:t>
      </w:r>
    </w:p>
    <w:p w14:paraId="498E08BB" w14:textId="04507588" w:rsidR="001D0C43" w:rsidRDefault="0091439E" w:rsidP="005B2C16">
      <w:pPr>
        <w:spacing w:after="240"/>
      </w:pPr>
      <w:r w:rsidRPr="00877AB4">
        <w:t xml:space="preserve">The </w:t>
      </w:r>
      <w:r w:rsidR="00B62FDB">
        <w:t>Australian</w:t>
      </w:r>
      <w:r w:rsidR="00B62FDB" w:rsidRPr="00877AB4" w:rsidDel="000023BE">
        <w:t xml:space="preserve"> </w:t>
      </w:r>
      <w:r w:rsidRPr="00877AB4">
        <w:t>Government supports the rights of children and young people with disability to have the same educational opportunitie</w:t>
      </w:r>
      <w:r w:rsidR="00CC0A35">
        <w:t xml:space="preserve">s as other school students. </w:t>
      </w:r>
    </w:p>
    <w:p w14:paraId="3B634951" w14:textId="2E12B997" w:rsidR="00E719C4" w:rsidRDefault="00CC0A35" w:rsidP="005B2C16">
      <w:pPr>
        <w:spacing w:after="240"/>
      </w:pPr>
      <w:r>
        <w:t>The </w:t>
      </w:r>
      <w:r w:rsidR="00B62FDB">
        <w:t>Australian</w:t>
      </w:r>
      <w:r>
        <w:t> </w:t>
      </w:r>
      <w:r w:rsidR="0091439E" w:rsidRPr="00877AB4">
        <w:t>Government believes that we should strive for a high-quality school system that assists all Australian children to reach their full potential</w:t>
      </w:r>
      <w:r w:rsidR="00335781">
        <w:t>. There are support programs in </w:t>
      </w:r>
      <w:r w:rsidR="0091439E" w:rsidRPr="00877AB4">
        <w:t>place to help ensure students with disability have the sa</w:t>
      </w:r>
      <w:r w:rsidR="00335781">
        <w:t>me educational opportunities as </w:t>
      </w:r>
      <w:r w:rsidR="0091439E" w:rsidRPr="00877AB4">
        <w:t>other school students so they can fully participate in the economic and social life of the community.</w:t>
      </w:r>
    </w:p>
    <w:p w14:paraId="23818044" w14:textId="6C99F26F" w:rsidR="0091439E" w:rsidRPr="00877AB4" w:rsidRDefault="0091439E" w:rsidP="005B2C16">
      <w:pPr>
        <w:spacing w:after="240"/>
      </w:pPr>
      <w:r w:rsidRPr="00877AB4">
        <w:t xml:space="preserve">The </w:t>
      </w:r>
      <w:r w:rsidRPr="00877AB4">
        <w:rPr>
          <w:i/>
          <w:iCs/>
        </w:rPr>
        <w:t>Disability Standards for Education</w:t>
      </w:r>
      <w:r w:rsidR="00CC0A35">
        <w:t xml:space="preserve"> 2005</w:t>
      </w:r>
      <w:r w:rsidRPr="00877AB4">
        <w:t xml:space="preserve"> (the Standards)</w:t>
      </w:r>
      <w:r w:rsidR="00CC0A35">
        <w:t xml:space="preserve"> </w:t>
      </w:r>
      <w:r w:rsidRPr="00877AB4">
        <w:rPr>
          <w:color w:val="000000"/>
        </w:rPr>
        <w:t xml:space="preserve">specify how education and training is to be made accessible to students with disability. The </w:t>
      </w:r>
      <w:r w:rsidRPr="00877AB4">
        <w:t>Standards articulate the obligations of education providers with respect to that access, including the requirement for making any reasonable educational adjustments required to ensure a child with disability can enrol and participate in education on the same basis as their peers – these obligations apply to all public and private school</w:t>
      </w:r>
      <w:r w:rsidR="00544A82">
        <w:t>s in Australia</w:t>
      </w:r>
      <w:r w:rsidRPr="00877AB4">
        <w:t xml:space="preserve">. The </w:t>
      </w:r>
      <w:r w:rsidR="00B62FDB">
        <w:t>Australian</w:t>
      </w:r>
      <w:r w:rsidR="00B62FDB" w:rsidRPr="00877AB4" w:rsidDel="000023BE">
        <w:t xml:space="preserve"> </w:t>
      </w:r>
      <w:r w:rsidRPr="00877AB4">
        <w:t xml:space="preserve">Government provides financial support for </w:t>
      </w:r>
      <w:r w:rsidRPr="00335781">
        <w:t>these educational adjustments via the Stud</w:t>
      </w:r>
      <w:r w:rsidR="00544A82" w:rsidRPr="00335781">
        <w:t>ents with</w:t>
      </w:r>
      <w:r w:rsidR="00335781" w:rsidRPr="00335781">
        <w:t xml:space="preserve"> Disability L</w:t>
      </w:r>
      <w:r w:rsidR="00544A82" w:rsidRPr="00335781">
        <w:t>oading, a </w:t>
      </w:r>
      <w:r w:rsidRPr="00335781">
        <w:t>component of Commonwealth recurrent funding for schools.</w:t>
      </w:r>
    </w:p>
    <w:p w14:paraId="56CE4ED6" w14:textId="3A034BAB" w:rsidR="0091439E" w:rsidRPr="00877AB4" w:rsidRDefault="0091439E" w:rsidP="005B2C16">
      <w:pPr>
        <w:spacing w:after="240"/>
      </w:pPr>
      <w:r w:rsidRPr="00877AB4">
        <w:t>The NDIS can fund additional support that a child requires</w:t>
      </w:r>
      <w:r w:rsidR="00212A4D">
        <w:t xml:space="preserve"> at school due to the impact of </w:t>
      </w:r>
      <w:r w:rsidRPr="00877AB4">
        <w:t>their disability on functional capacity. These suppor</w:t>
      </w:r>
      <w:r w:rsidR="00212A4D">
        <w:t>ts are not primarily related to </w:t>
      </w:r>
      <w:r w:rsidRPr="00877AB4">
        <w:t>education and learning and are beyond what a school is re</w:t>
      </w:r>
      <w:r w:rsidR="00212A4D">
        <w:t>sponsible for. For example, the </w:t>
      </w:r>
      <w:r w:rsidRPr="00877AB4">
        <w:t>NDIS can fund specialist support and training for school staff related to the specific personal support needs of a student with disability, including specialised behav</w:t>
      </w:r>
      <w:r w:rsidR="005B2C16">
        <w:t xml:space="preserve">iour intervention and support. </w:t>
      </w:r>
    </w:p>
    <w:p w14:paraId="391DF4D1" w14:textId="0B614689" w:rsidR="0091439E" w:rsidRPr="00212A4D" w:rsidRDefault="0091439E" w:rsidP="005B2C16">
      <w:pPr>
        <w:spacing w:after="240"/>
      </w:pPr>
      <w:r w:rsidRPr="00877AB4">
        <w:t xml:space="preserve">The </w:t>
      </w:r>
      <w:r w:rsidR="00B62FDB">
        <w:t>Australian</w:t>
      </w:r>
      <w:r w:rsidR="00B62FDB" w:rsidRPr="00877AB4" w:rsidDel="000023BE">
        <w:t xml:space="preserve"> </w:t>
      </w:r>
      <w:r w:rsidRPr="00877AB4">
        <w:t xml:space="preserve">Government is committed to continuing to work with state and territory governments to ensure the allocation of responsibilities and funding between the NDIS and schools is clear, well understood and working in concert with one another. </w:t>
      </w:r>
    </w:p>
    <w:p w14:paraId="081F81AE" w14:textId="3BCA6CB5" w:rsidR="008337E4" w:rsidRDefault="005C4528" w:rsidP="007F6EE6">
      <w:pPr>
        <w:spacing w:after="160" w:line="259" w:lineRule="auto"/>
        <w:rPr>
          <w:b/>
        </w:rPr>
      </w:pPr>
      <w:r>
        <w:rPr>
          <w:b/>
        </w:rPr>
        <w:br w:type="page"/>
      </w:r>
    </w:p>
    <w:tbl>
      <w:tblPr>
        <w:tblStyle w:val="TableGrid"/>
        <w:tblW w:w="0" w:type="auto"/>
        <w:tblLook w:val="04A0" w:firstRow="1" w:lastRow="0" w:firstColumn="1" w:lastColumn="0" w:noHBand="0" w:noVBand="1"/>
        <w:tblDescription w:val="Decorative"/>
      </w:tblPr>
      <w:tblGrid>
        <w:gridCol w:w="9016"/>
      </w:tblGrid>
      <w:tr w:rsidR="007F6EE6" w14:paraId="2F4EAED6" w14:textId="77777777" w:rsidTr="007F6EE6">
        <w:tc>
          <w:tcPr>
            <w:tcW w:w="9016" w:type="dxa"/>
          </w:tcPr>
          <w:p w14:paraId="47F5CABE" w14:textId="77777777" w:rsidR="007F6EE6" w:rsidRPr="007F6EE6" w:rsidRDefault="007F6EE6" w:rsidP="007F6EE6">
            <w:pPr>
              <w:spacing w:line="276" w:lineRule="auto"/>
              <w:jc w:val="both"/>
              <w:rPr>
                <w:b/>
              </w:rPr>
            </w:pPr>
            <w:r w:rsidRPr="007F6EE6">
              <w:rPr>
                <w:b/>
              </w:rPr>
              <w:lastRenderedPageBreak/>
              <w:t>Recommendation 56</w:t>
            </w:r>
          </w:p>
          <w:p w14:paraId="3B6FB9A9" w14:textId="77777777" w:rsidR="007F6EE6" w:rsidRPr="00C06DFE" w:rsidRDefault="007F6EE6" w:rsidP="007F6EE6">
            <w:pPr>
              <w:spacing w:before="60" w:line="276" w:lineRule="auto"/>
              <w:ind w:right="718"/>
            </w:pPr>
            <w:r w:rsidRPr="00C06DFE">
              <w:t>The committee recommends that the Equity in Higher Education Panel include</w:t>
            </w:r>
            <w:r w:rsidRPr="00C06DFE">
              <w:rPr>
                <w:spacing w:val="-5"/>
              </w:rPr>
              <w:t xml:space="preserve"> </w:t>
            </w:r>
            <w:r w:rsidRPr="00C06DFE">
              <w:t>a</w:t>
            </w:r>
            <w:r w:rsidRPr="00C06DFE">
              <w:rPr>
                <w:spacing w:val="-4"/>
              </w:rPr>
              <w:t xml:space="preserve"> </w:t>
            </w:r>
            <w:r w:rsidRPr="00C06DFE">
              <w:t>specific</w:t>
            </w:r>
            <w:r w:rsidRPr="00C06DFE">
              <w:rPr>
                <w:spacing w:val="-6"/>
              </w:rPr>
              <w:t xml:space="preserve"> </w:t>
            </w:r>
            <w:r w:rsidRPr="00C06DFE">
              <w:t>focus</w:t>
            </w:r>
            <w:r w:rsidRPr="00C06DFE">
              <w:rPr>
                <w:spacing w:val="-5"/>
              </w:rPr>
              <w:t xml:space="preserve"> </w:t>
            </w:r>
            <w:r w:rsidRPr="00C06DFE">
              <w:t>on</w:t>
            </w:r>
            <w:r w:rsidRPr="00C06DFE">
              <w:rPr>
                <w:spacing w:val="-5"/>
              </w:rPr>
              <w:t xml:space="preserve"> </w:t>
            </w:r>
            <w:r w:rsidRPr="00C06DFE">
              <w:t>the</w:t>
            </w:r>
            <w:r w:rsidRPr="00C06DFE">
              <w:rPr>
                <w:spacing w:val="-4"/>
              </w:rPr>
              <w:t xml:space="preserve"> </w:t>
            </w:r>
            <w:r w:rsidRPr="00C06DFE">
              <w:t>needs</w:t>
            </w:r>
            <w:r w:rsidRPr="00C06DFE">
              <w:rPr>
                <w:spacing w:val="-5"/>
              </w:rPr>
              <w:t xml:space="preserve"> </w:t>
            </w:r>
            <w:r w:rsidRPr="00C06DFE">
              <w:t>of</w:t>
            </w:r>
            <w:r w:rsidRPr="00C06DFE">
              <w:rPr>
                <w:spacing w:val="-5"/>
              </w:rPr>
              <w:t xml:space="preserve"> </w:t>
            </w:r>
            <w:r w:rsidRPr="00C06DFE">
              <w:t>autistic</w:t>
            </w:r>
            <w:r w:rsidRPr="00C06DFE">
              <w:rPr>
                <w:spacing w:val="-5"/>
              </w:rPr>
              <w:t xml:space="preserve"> </w:t>
            </w:r>
            <w:r w:rsidRPr="00C06DFE">
              <w:t>students</w:t>
            </w:r>
            <w:r w:rsidRPr="00C06DFE">
              <w:rPr>
                <w:spacing w:val="-6"/>
              </w:rPr>
              <w:t xml:space="preserve"> </w:t>
            </w:r>
            <w:r w:rsidRPr="00C06DFE">
              <w:t>as</w:t>
            </w:r>
            <w:r w:rsidRPr="00C06DFE">
              <w:rPr>
                <w:spacing w:val="-5"/>
              </w:rPr>
              <w:t xml:space="preserve"> </w:t>
            </w:r>
            <w:r w:rsidRPr="00C06DFE">
              <w:t>part</w:t>
            </w:r>
            <w:r w:rsidRPr="00C06DFE">
              <w:rPr>
                <w:spacing w:val="-5"/>
              </w:rPr>
              <w:t xml:space="preserve"> </w:t>
            </w:r>
            <w:r w:rsidRPr="00C06DFE">
              <w:t>of</w:t>
            </w:r>
            <w:r w:rsidRPr="00C06DFE">
              <w:rPr>
                <w:spacing w:val="-5"/>
              </w:rPr>
              <w:t xml:space="preserve"> </w:t>
            </w:r>
            <w:r w:rsidRPr="00C06DFE">
              <w:t>its</w:t>
            </w:r>
            <w:r w:rsidRPr="00C06DFE">
              <w:rPr>
                <w:spacing w:val="-5"/>
              </w:rPr>
              <w:t xml:space="preserve"> </w:t>
            </w:r>
            <w:r w:rsidRPr="00C06DFE">
              <w:t>work</w:t>
            </w:r>
            <w:r w:rsidRPr="00C06DFE">
              <w:rPr>
                <w:spacing w:val="-4"/>
              </w:rPr>
              <w:t xml:space="preserve"> </w:t>
            </w:r>
            <w:r w:rsidRPr="00C06DFE">
              <w:t>to develop</w:t>
            </w:r>
            <w:r w:rsidRPr="00C06DFE">
              <w:rPr>
                <w:spacing w:val="-13"/>
              </w:rPr>
              <w:t xml:space="preserve"> </w:t>
            </w:r>
            <w:r w:rsidRPr="00C06DFE">
              <w:t>a</w:t>
            </w:r>
            <w:r w:rsidRPr="00C06DFE">
              <w:rPr>
                <w:spacing w:val="-12"/>
              </w:rPr>
              <w:t xml:space="preserve"> </w:t>
            </w:r>
            <w:r w:rsidRPr="00C06DFE">
              <w:t>Student</w:t>
            </w:r>
            <w:r w:rsidRPr="00C06DFE">
              <w:rPr>
                <w:spacing w:val="-13"/>
              </w:rPr>
              <w:t xml:space="preserve"> </w:t>
            </w:r>
            <w:r w:rsidRPr="00C06DFE">
              <w:t>Equity</w:t>
            </w:r>
            <w:r w:rsidRPr="00C06DFE">
              <w:rPr>
                <w:spacing w:val="-11"/>
              </w:rPr>
              <w:t xml:space="preserve"> </w:t>
            </w:r>
            <w:r w:rsidRPr="00C06DFE">
              <w:t>in</w:t>
            </w:r>
            <w:r w:rsidRPr="00C06DFE">
              <w:rPr>
                <w:spacing w:val="-12"/>
              </w:rPr>
              <w:t xml:space="preserve"> </w:t>
            </w:r>
            <w:r w:rsidRPr="00C06DFE">
              <w:t>Higher</w:t>
            </w:r>
            <w:r w:rsidRPr="00C06DFE">
              <w:rPr>
                <w:spacing w:val="-12"/>
              </w:rPr>
              <w:t xml:space="preserve"> </w:t>
            </w:r>
            <w:r w:rsidRPr="00C06DFE">
              <w:t>Education</w:t>
            </w:r>
            <w:r w:rsidRPr="00C06DFE">
              <w:rPr>
                <w:spacing w:val="-12"/>
              </w:rPr>
              <w:t xml:space="preserve"> </w:t>
            </w:r>
            <w:r w:rsidRPr="00C06DFE">
              <w:t>Roadmap.</w:t>
            </w:r>
            <w:r w:rsidRPr="00C06DFE">
              <w:rPr>
                <w:spacing w:val="-12"/>
              </w:rPr>
              <w:t xml:space="preserve"> </w:t>
            </w:r>
            <w:r w:rsidRPr="00C06DFE">
              <w:t>This</w:t>
            </w:r>
            <w:r w:rsidRPr="00C06DFE">
              <w:rPr>
                <w:spacing w:val="-13"/>
              </w:rPr>
              <w:t xml:space="preserve"> </w:t>
            </w:r>
            <w:r w:rsidRPr="00C06DFE">
              <w:t>should</w:t>
            </w:r>
            <w:r w:rsidRPr="00C06DFE">
              <w:rPr>
                <w:spacing w:val="-12"/>
              </w:rPr>
              <w:t xml:space="preserve"> </w:t>
            </w:r>
            <w:r w:rsidRPr="00C06DFE">
              <w:t>include consultation with the taskforce established to develop the National Autism Strategy, as well as a focus</w:t>
            </w:r>
            <w:r w:rsidRPr="00C06DFE">
              <w:rPr>
                <w:spacing w:val="-5"/>
              </w:rPr>
              <w:t xml:space="preserve"> </w:t>
            </w:r>
            <w:r w:rsidRPr="00C06DFE">
              <w:t>on:</w:t>
            </w:r>
          </w:p>
          <w:p w14:paraId="48324BAE" w14:textId="77777777" w:rsidR="007F6EE6" w:rsidRPr="00C06DFE" w:rsidRDefault="007F6EE6" w:rsidP="007F6EE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C06DFE">
              <w:rPr>
                <w:rFonts w:ascii="Times New Roman" w:hAnsi="Times New Roman" w:cs="Times New Roman"/>
                <w:sz w:val="24"/>
                <w:szCs w:val="24"/>
              </w:rPr>
              <w:t>increasing autism understanding among all teaching and administrative staff;</w:t>
            </w:r>
          </w:p>
          <w:p w14:paraId="4C8E3065" w14:textId="77777777" w:rsidR="007F6EE6" w:rsidRPr="00C06DFE" w:rsidRDefault="007F6EE6" w:rsidP="007F6EE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C06DFE">
              <w:rPr>
                <w:rFonts w:ascii="Times New Roman" w:hAnsi="Times New Roman" w:cs="Times New Roman"/>
                <w:sz w:val="24"/>
                <w:szCs w:val="24"/>
              </w:rPr>
              <w:t>creating autism-friendly information for current and prospective</w:t>
            </w:r>
            <w:r w:rsidRPr="00E81E3D">
              <w:rPr>
                <w:rFonts w:ascii="Times New Roman" w:hAnsi="Times New Roman" w:cs="Times New Roman"/>
                <w:sz w:val="24"/>
                <w:szCs w:val="24"/>
              </w:rPr>
              <w:t xml:space="preserve"> </w:t>
            </w:r>
            <w:r w:rsidRPr="00C06DFE">
              <w:rPr>
                <w:rFonts w:ascii="Times New Roman" w:hAnsi="Times New Roman" w:cs="Times New Roman"/>
                <w:sz w:val="24"/>
                <w:szCs w:val="24"/>
              </w:rPr>
              <w:t>students;</w:t>
            </w:r>
          </w:p>
          <w:p w14:paraId="1736EFEF" w14:textId="77777777" w:rsidR="007F6EE6" w:rsidRDefault="007F6EE6" w:rsidP="007F6EE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C06DFE">
              <w:rPr>
                <w:rFonts w:ascii="Times New Roman" w:hAnsi="Times New Roman" w:cs="Times New Roman"/>
                <w:sz w:val="24"/>
                <w:szCs w:val="24"/>
              </w:rPr>
              <w:t>creating autism-friendly campus environments and services;</w:t>
            </w:r>
            <w:r w:rsidRPr="00E81E3D">
              <w:rPr>
                <w:rFonts w:ascii="Times New Roman" w:hAnsi="Times New Roman" w:cs="Times New Roman"/>
                <w:sz w:val="24"/>
                <w:szCs w:val="24"/>
              </w:rPr>
              <w:t xml:space="preserve"> </w:t>
            </w:r>
            <w:r w:rsidRPr="00C06DFE">
              <w:rPr>
                <w:rFonts w:ascii="Times New Roman" w:hAnsi="Times New Roman" w:cs="Times New Roman"/>
                <w:sz w:val="24"/>
                <w:szCs w:val="24"/>
              </w:rPr>
              <w:t>and</w:t>
            </w:r>
          </w:p>
          <w:p w14:paraId="13654682" w14:textId="0878A3F7" w:rsidR="007F6EE6" w:rsidRPr="007F6EE6" w:rsidRDefault="007F6EE6" w:rsidP="007F6EE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811009">
              <w:rPr>
                <w:rFonts w:ascii="Times New Roman" w:hAnsi="Times New Roman" w:cs="Times New Roman"/>
                <w:sz w:val="24"/>
                <w:szCs w:val="24"/>
              </w:rPr>
              <w:t>widespread adoption of autism inclusion and peer mentoring programs.</w:t>
            </w:r>
          </w:p>
        </w:tc>
      </w:tr>
    </w:tbl>
    <w:p w14:paraId="4BB25493" w14:textId="77777777" w:rsidR="007F6EE6" w:rsidRPr="005B2C16" w:rsidRDefault="007F6EE6" w:rsidP="008337E4"/>
    <w:p w14:paraId="209047D7" w14:textId="61ECCF3C" w:rsidR="00C954D7" w:rsidRPr="00C954D7" w:rsidRDefault="007A28A6" w:rsidP="00C954D7">
      <w:pPr>
        <w:widowControl w:val="0"/>
        <w:tabs>
          <w:tab w:val="left" w:pos="1028"/>
        </w:tabs>
        <w:autoSpaceDE w:val="0"/>
        <w:autoSpaceDN w:val="0"/>
        <w:rPr>
          <w:b/>
          <w:bCs/>
          <w:sz w:val="22"/>
          <w:szCs w:val="22"/>
        </w:rPr>
      </w:pPr>
      <w:r>
        <w:rPr>
          <w:b/>
          <w:bCs/>
        </w:rPr>
        <w:t>Support</w:t>
      </w:r>
      <w:r w:rsidR="000A2C3D">
        <w:rPr>
          <w:b/>
          <w:bCs/>
        </w:rPr>
        <w:t>ed</w:t>
      </w:r>
      <w:r>
        <w:rPr>
          <w:b/>
          <w:bCs/>
        </w:rPr>
        <w:t xml:space="preserve"> in principle</w:t>
      </w:r>
    </w:p>
    <w:p w14:paraId="74D353FD" w14:textId="0E38CD35" w:rsidR="009B50A8" w:rsidRPr="00C954D7" w:rsidRDefault="000A2C3D" w:rsidP="005B2C16">
      <w:pPr>
        <w:spacing w:after="240"/>
      </w:pPr>
      <w:r>
        <w:t xml:space="preserve">The Department of Education </w:t>
      </w:r>
      <w:r w:rsidR="00C954D7" w:rsidRPr="00C954D7">
        <w:t xml:space="preserve">notes the findings of the </w:t>
      </w:r>
      <w:r>
        <w:t xml:space="preserve">committee’s </w:t>
      </w:r>
      <w:r w:rsidR="00C954D7" w:rsidRPr="00C954D7">
        <w:t xml:space="preserve">report regarding significant disparities in outcomes for autistic students. The Equity in Higher Education Panel </w:t>
      </w:r>
      <w:r w:rsidR="0048731D">
        <w:t xml:space="preserve">(EHEP) </w:t>
      </w:r>
      <w:r w:rsidR="00C954D7" w:rsidRPr="00C954D7">
        <w:t xml:space="preserve">will consider the needs of autistic students as </w:t>
      </w:r>
      <w:r w:rsidR="00811009">
        <w:t xml:space="preserve">part of their ongoing work </w:t>
      </w:r>
      <w:r w:rsidR="00811009" w:rsidRPr="00796932">
        <w:t>on a </w:t>
      </w:r>
      <w:r w:rsidR="00C954D7" w:rsidRPr="00796932">
        <w:t>national student equity in higher education strategy, which aims to improve the</w:t>
      </w:r>
      <w:r w:rsidR="00C954D7" w:rsidRPr="00C954D7">
        <w:t xml:space="preserve"> outcomes and opportunities for people experiencing disadvantage, incl</w:t>
      </w:r>
      <w:r w:rsidR="005B2C16">
        <w:t>uding students with disability.</w:t>
      </w:r>
    </w:p>
    <w:p w14:paraId="085AAC30" w14:textId="34AE25A0" w:rsidR="007F6EE6" w:rsidRDefault="00C954D7" w:rsidP="005B2C16">
      <w:pPr>
        <w:spacing w:after="240"/>
      </w:pPr>
      <w:r w:rsidRPr="00C954D7">
        <w:t>The EHEP Secretariat will engage with the for</w:t>
      </w:r>
      <w:r w:rsidR="000A2C3D">
        <w:t>um c</w:t>
      </w:r>
      <w:r w:rsidR="0081117E">
        <w:t>hosen to drive development of a </w:t>
      </w:r>
      <w:r w:rsidR="000A2C3D">
        <w:t>National Autism Strategy</w:t>
      </w:r>
      <w:r w:rsidRPr="00C954D7">
        <w:t xml:space="preserve"> (</w:t>
      </w:r>
      <w:r w:rsidR="002172E7">
        <w:t>R</w:t>
      </w:r>
      <w:r w:rsidRPr="00C954D7">
        <w:t>ecommendation 2</w:t>
      </w:r>
      <w:r w:rsidR="001C6646">
        <w:t xml:space="preserve"> refers</w:t>
      </w:r>
      <w:r w:rsidRPr="00C954D7">
        <w:t>) to identify suitable opportunities for consultation.</w:t>
      </w:r>
    </w:p>
    <w:tbl>
      <w:tblPr>
        <w:tblStyle w:val="TableGrid"/>
        <w:tblW w:w="0" w:type="auto"/>
        <w:tblLook w:val="04A0" w:firstRow="1" w:lastRow="0" w:firstColumn="1" w:lastColumn="0" w:noHBand="0" w:noVBand="1"/>
        <w:tblDescription w:val="Decorative"/>
      </w:tblPr>
      <w:tblGrid>
        <w:gridCol w:w="9016"/>
      </w:tblGrid>
      <w:tr w:rsidR="007F6EE6" w14:paraId="3C40450C" w14:textId="77777777" w:rsidTr="007F6EE6">
        <w:tc>
          <w:tcPr>
            <w:tcW w:w="9016" w:type="dxa"/>
          </w:tcPr>
          <w:p w14:paraId="2DCE8F0B" w14:textId="77777777" w:rsidR="007F6EE6" w:rsidRPr="007F6EE6" w:rsidRDefault="007F6EE6" w:rsidP="007F6EE6">
            <w:pPr>
              <w:spacing w:line="276" w:lineRule="auto"/>
              <w:jc w:val="both"/>
              <w:rPr>
                <w:b/>
              </w:rPr>
            </w:pPr>
            <w:r w:rsidRPr="007F6EE6">
              <w:rPr>
                <w:b/>
              </w:rPr>
              <w:t>Recommendation 57</w:t>
            </w:r>
          </w:p>
          <w:p w14:paraId="68525D41" w14:textId="77777777" w:rsidR="007F6EE6" w:rsidRPr="00E81E3D" w:rsidRDefault="007F6EE6" w:rsidP="007F6EE6">
            <w:pPr>
              <w:spacing w:before="60" w:line="276" w:lineRule="auto"/>
              <w:ind w:right="715"/>
            </w:pPr>
            <w:r w:rsidRPr="00E81E3D">
              <w:t>The committee recommends that a Transition to Work Roadmap be developed under the auspices of the National Autism Strategy and as part of the National Autism Employment Framework proposed at Recommendation 58. This should provide a nationally agreed and coordinated approach to transition planning across school and higher education settings and should identify actions</w:t>
            </w:r>
            <w:r w:rsidRPr="00E81E3D">
              <w:rPr>
                <w:spacing w:val="-7"/>
              </w:rPr>
              <w:t xml:space="preserve"> </w:t>
            </w:r>
            <w:r w:rsidRPr="00E81E3D">
              <w:t>to:</w:t>
            </w:r>
          </w:p>
          <w:p w14:paraId="3AD072A9" w14:textId="77777777" w:rsidR="007F6EE6" w:rsidRPr="00E81E3D" w:rsidRDefault="007F6EE6" w:rsidP="007F6EE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improve students' social and employability skills;</w:t>
            </w:r>
          </w:p>
          <w:p w14:paraId="69CB9462" w14:textId="77777777" w:rsidR="007F6EE6" w:rsidRPr="00E81E3D" w:rsidRDefault="007F6EE6" w:rsidP="007F6EE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embed the use of evidence-based transition planning resources, such as Better Outcomes and Successful Transitions for Autism (BOOST-A) and the MyWAY Employability web platform in schools and work preparation programs (including the NDIS School Leaver Employment Supports);</w:t>
            </w:r>
          </w:p>
          <w:p w14:paraId="42086F62" w14:textId="77777777" w:rsidR="007F6EE6" w:rsidRPr="00E81E3D" w:rsidRDefault="007F6EE6" w:rsidP="007F6EE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improve the autism understanding of NDIS School Leaver Employment Supports providers;</w:t>
            </w:r>
          </w:p>
          <w:p w14:paraId="183B5835" w14:textId="77777777" w:rsidR="007F6EE6" w:rsidRDefault="007F6EE6" w:rsidP="007F6EE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expand the reach of the Ticket to Work program; and</w:t>
            </w:r>
          </w:p>
          <w:p w14:paraId="5738E1EE" w14:textId="33F9FBBD" w:rsidR="007F6EE6" w:rsidRPr="007F6EE6" w:rsidRDefault="007F6EE6" w:rsidP="007F6EE6">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CF3FA4">
              <w:rPr>
                <w:rFonts w:ascii="Times New Roman" w:hAnsi="Times New Roman" w:cs="Times New Roman"/>
                <w:sz w:val="24"/>
                <w:szCs w:val="24"/>
              </w:rPr>
              <w:t>establish stronger links between schools, universities and employers to facilitate autism-aware work experience opportunities.</w:t>
            </w:r>
          </w:p>
        </w:tc>
      </w:tr>
    </w:tbl>
    <w:p w14:paraId="3200C77F" w14:textId="77777777" w:rsidR="005C4528" w:rsidRDefault="005C4528">
      <w:pPr>
        <w:spacing w:after="160" w:line="259" w:lineRule="auto"/>
        <w:rPr>
          <w:b/>
        </w:rPr>
      </w:pPr>
      <w:r>
        <w:rPr>
          <w:b/>
        </w:rPr>
        <w:br w:type="page"/>
      </w:r>
    </w:p>
    <w:p w14:paraId="32C23EDC" w14:textId="00A76CAD" w:rsidR="001C6646" w:rsidRPr="00A57920" w:rsidRDefault="00A57920" w:rsidP="001C6646">
      <w:pPr>
        <w:rPr>
          <w:b/>
        </w:rPr>
      </w:pPr>
      <w:r>
        <w:rPr>
          <w:b/>
        </w:rPr>
        <w:lastRenderedPageBreak/>
        <w:t>Support</w:t>
      </w:r>
      <w:r w:rsidR="000378FD">
        <w:rPr>
          <w:b/>
        </w:rPr>
        <w:t>ed</w:t>
      </w:r>
      <w:r>
        <w:rPr>
          <w:b/>
        </w:rPr>
        <w:t xml:space="preserve"> in principle</w:t>
      </w:r>
    </w:p>
    <w:p w14:paraId="67A2F944" w14:textId="744A642C" w:rsidR="00E719C4" w:rsidRPr="00A61562" w:rsidRDefault="001C6646" w:rsidP="005B2C16">
      <w:pPr>
        <w:spacing w:after="240"/>
      </w:pPr>
      <w:r w:rsidRPr="00A57920">
        <w:t xml:space="preserve">In December 2021, the </w:t>
      </w:r>
      <w:r w:rsidR="00B62FDB">
        <w:t>Australian</w:t>
      </w:r>
      <w:r w:rsidR="00B62FDB" w:rsidRPr="00A57920" w:rsidDel="00F27DD0">
        <w:t xml:space="preserve"> </w:t>
      </w:r>
      <w:r w:rsidRPr="00A57920">
        <w:t>Government r</w:t>
      </w:r>
      <w:r w:rsidR="00CF3FA4">
        <w:t>eleased Employ My Ability – the </w:t>
      </w:r>
      <w:r w:rsidRPr="00A57920">
        <w:t>Disability</w:t>
      </w:r>
      <w:r w:rsidR="00CF3FA4">
        <w:t> </w:t>
      </w:r>
      <w:r w:rsidRPr="00A61562">
        <w:t xml:space="preserve">Employment Strategy as a ten year commitment to improving employment outcomes for people with disability. </w:t>
      </w:r>
    </w:p>
    <w:p w14:paraId="2FCBCB9F" w14:textId="2134E49A" w:rsidR="00E719C4" w:rsidRPr="00A61562" w:rsidRDefault="001C6646" w:rsidP="005B2C16">
      <w:pPr>
        <w:spacing w:after="240"/>
      </w:pPr>
      <w:r w:rsidRPr="00A61562">
        <w:t xml:space="preserve">Through priority area two of Employ My Ability, the </w:t>
      </w:r>
      <w:r w:rsidR="00B62FDB">
        <w:t>Australian</w:t>
      </w:r>
      <w:r w:rsidR="00B62FDB" w:rsidRPr="00A61562">
        <w:t xml:space="preserve"> </w:t>
      </w:r>
      <w:r w:rsidRPr="00A61562">
        <w:t>Government recognises that more needs to be done to build the employment skills, experience and confidence of young people with disabil</w:t>
      </w:r>
      <w:r w:rsidR="000A2C3D">
        <w:t>ity, including young autistic people</w:t>
      </w:r>
      <w:r w:rsidRPr="00A61562">
        <w:t>, as they transition to work.</w:t>
      </w:r>
    </w:p>
    <w:p w14:paraId="6DA11A90" w14:textId="1D8650A4" w:rsidR="001C6646" w:rsidRPr="00A61562" w:rsidRDefault="001C6646" w:rsidP="005B2C16">
      <w:pPr>
        <w:spacing w:after="240"/>
      </w:pPr>
      <w:r w:rsidRPr="00E43260">
        <w:t xml:space="preserve">Under Employ My Ability, the </w:t>
      </w:r>
      <w:r w:rsidR="00B62FDB" w:rsidRPr="00E43260">
        <w:t xml:space="preserve">Australian </w:t>
      </w:r>
      <w:r w:rsidRPr="00E43260">
        <w:t>Government has already committed to:</w:t>
      </w:r>
    </w:p>
    <w:p w14:paraId="588507F0" w14:textId="77777777" w:rsidR="001C6646" w:rsidRPr="00E43260" w:rsidRDefault="001C6646" w:rsidP="00E43260">
      <w:pPr>
        <w:pStyle w:val="ListParagraph"/>
        <w:numPr>
          <w:ilvl w:val="0"/>
          <w:numId w:val="7"/>
        </w:numPr>
        <w:spacing w:after="0" w:line="240" w:lineRule="auto"/>
        <w:ind w:left="714" w:hanging="357"/>
        <w:rPr>
          <w:rFonts w:ascii="Times New Roman" w:hAnsi="Times New Roman" w:cs="Times New Roman"/>
          <w:sz w:val="24"/>
          <w:szCs w:val="24"/>
        </w:rPr>
      </w:pPr>
      <w:r w:rsidRPr="00E43260">
        <w:rPr>
          <w:rFonts w:ascii="Times New Roman" w:hAnsi="Times New Roman" w:cs="Times New Roman"/>
          <w:sz w:val="24"/>
          <w:szCs w:val="24"/>
        </w:rPr>
        <w:t>Develop new approaches to support young people with disability in their transition from school to work, and</w:t>
      </w:r>
    </w:p>
    <w:p w14:paraId="038906E2" w14:textId="4145E83C" w:rsidR="008337E4" w:rsidRPr="005B2C16" w:rsidRDefault="001C6646" w:rsidP="005B2C16">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E43260">
        <w:rPr>
          <w:rFonts w:ascii="Times New Roman" w:hAnsi="Times New Roman" w:cs="Times New Roman"/>
          <w:sz w:val="24"/>
          <w:szCs w:val="24"/>
        </w:rPr>
        <w:t>Develop and promote information, tools and resources relating to employment pathways to build the capacity and confidence of y</w:t>
      </w:r>
      <w:r w:rsidR="00E43260">
        <w:rPr>
          <w:rFonts w:ascii="Times New Roman" w:hAnsi="Times New Roman" w:cs="Times New Roman"/>
          <w:sz w:val="24"/>
          <w:szCs w:val="24"/>
        </w:rPr>
        <w:t>oung people with disability, </w:t>
      </w:r>
      <w:r w:rsidR="000A2C3D" w:rsidRPr="00E43260">
        <w:rPr>
          <w:rFonts w:ascii="Times New Roman" w:hAnsi="Times New Roman" w:cs="Times New Roman"/>
          <w:sz w:val="24"/>
          <w:szCs w:val="24"/>
        </w:rPr>
        <w:t>as </w:t>
      </w:r>
      <w:r w:rsidR="00E43260">
        <w:rPr>
          <w:rFonts w:ascii="Times New Roman" w:hAnsi="Times New Roman" w:cs="Times New Roman"/>
          <w:sz w:val="24"/>
          <w:szCs w:val="24"/>
        </w:rPr>
        <w:t>well </w:t>
      </w:r>
      <w:r w:rsidRPr="00E43260">
        <w:rPr>
          <w:rFonts w:ascii="Times New Roman" w:hAnsi="Times New Roman" w:cs="Times New Roman"/>
          <w:sz w:val="24"/>
          <w:szCs w:val="24"/>
        </w:rPr>
        <w:t>as their support networks.</w:t>
      </w:r>
    </w:p>
    <w:p w14:paraId="59F79838" w14:textId="639D2E2C" w:rsidR="007139C0" w:rsidRPr="007139C0" w:rsidRDefault="007139C0" w:rsidP="005B2C16">
      <w:pPr>
        <w:spacing w:after="240"/>
      </w:pPr>
      <w:r w:rsidRPr="007139C0">
        <w:t>The NDIA is implementing the NDIS Participant Employment Strategy revised Action Plan for 2021-22, which aims to see 30</w:t>
      </w:r>
      <w:r w:rsidR="001C6646">
        <w:t xml:space="preserve"> per cent</w:t>
      </w:r>
      <w:r w:rsidRPr="007139C0">
        <w:t xml:space="preserve"> of working age participants i</w:t>
      </w:r>
      <w:r w:rsidR="000A2C3D">
        <w:t>n emp</w:t>
      </w:r>
      <w:r w:rsidR="00E43260">
        <w:t>loyment by </w:t>
      </w:r>
      <w:r w:rsidR="000A2C3D">
        <w:t>June 2023. The s</w:t>
      </w:r>
      <w:r w:rsidRPr="007139C0">
        <w:t>trategy maintains a shared focus of increasing employment opportunities and outcomes for participants, facilitating the transition fr</w:t>
      </w:r>
      <w:r w:rsidR="000A2C3D">
        <w:t>om education to employment, and </w:t>
      </w:r>
      <w:r w:rsidRPr="007139C0">
        <w:t xml:space="preserve">strengthening the autonomy and self-determination of people with a disability to pursue and </w:t>
      </w:r>
      <w:r w:rsidR="005B2C16">
        <w:t>achieve their employment goals.</w:t>
      </w:r>
    </w:p>
    <w:p w14:paraId="732CF1BF" w14:textId="26439719" w:rsidR="007139C0" w:rsidRDefault="007139C0" w:rsidP="005B2C16">
      <w:pPr>
        <w:spacing w:after="240"/>
        <w:rPr>
          <w:lang w:eastAsia="en-AU"/>
        </w:rPr>
      </w:pPr>
      <w:r w:rsidRPr="007139C0">
        <w:t>The NDIA continues to focus on employment supports for youn</w:t>
      </w:r>
      <w:r w:rsidR="00E43260">
        <w:t>g participants, particularly as </w:t>
      </w:r>
      <w:r w:rsidRPr="007139C0">
        <w:t>they leave school. A review of the employment support available for young participants commenced in Quarter 3 of 2022, to address the identified shortcomin</w:t>
      </w:r>
      <w:r w:rsidR="00E43260">
        <w:t>gs of </w:t>
      </w:r>
      <w:r w:rsidR="001C6646">
        <w:t xml:space="preserve">school leaver employment </w:t>
      </w:r>
      <w:r w:rsidRPr="007139C0">
        <w:t>supports</w:t>
      </w:r>
      <w:r w:rsidR="000A2C3D">
        <w:t>,</w:t>
      </w:r>
      <w:r w:rsidRPr="007139C0">
        <w:t xml:space="preserve"> such as</w:t>
      </w:r>
      <w:r w:rsidR="000A2C3D">
        <w:t>:</w:t>
      </w:r>
      <w:r w:rsidRPr="007139C0">
        <w:t xml:space="preserve"> delivery of</w:t>
      </w:r>
      <w:r w:rsidR="000A2C3D">
        <w:t xml:space="preserve"> a set program of interventions;</w:t>
      </w:r>
      <w:r w:rsidRPr="007139C0">
        <w:t xml:space="preserve"> var</w:t>
      </w:r>
      <w:r w:rsidR="000A2C3D">
        <w:t xml:space="preserve">iable performance of providers; </w:t>
      </w:r>
      <w:r w:rsidRPr="007139C0">
        <w:t>a payment system un</w:t>
      </w:r>
      <w:r w:rsidR="00E43260">
        <w:t xml:space="preserve">related to provider effort, </w:t>
      </w:r>
      <w:r w:rsidR="00E43260" w:rsidRPr="00F22798">
        <w:t>and </w:t>
      </w:r>
      <w:r w:rsidRPr="00F22798">
        <w:t>participant uncertainty about selecting an effective provider.</w:t>
      </w:r>
      <w:r w:rsidRPr="007139C0">
        <w:rPr>
          <w:lang w:eastAsia="en-AU"/>
        </w:rPr>
        <w:t xml:space="preserve"> </w:t>
      </w:r>
    </w:p>
    <w:p w14:paraId="645658EF" w14:textId="42717104" w:rsidR="006A1CA5" w:rsidRPr="006A1CA5" w:rsidRDefault="00232B60" w:rsidP="00232B60">
      <w:pPr>
        <w:spacing w:after="160" w:line="259" w:lineRule="auto"/>
        <w:rPr>
          <w:lang w:eastAsia="en-AU"/>
        </w:rPr>
      </w:pPr>
      <w:r>
        <w:rPr>
          <w:lang w:eastAsia="en-AU"/>
        </w:rPr>
        <w:br w:type="page"/>
      </w:r>
    </w:p>
    <w:p w14:paraId="3758EDB6" w14:textId="27624C97" w:rsidR="005B2C16" w:rsidRPr="005B2C16" w:rsidRDefault="00362441" w:rsidP="00A12901">
      <w:pPr>
        <w:pStyle w:val="Heading2"/>
      </w:pPr>
      <w:r w:rsidRPr="00232B60">
        <w:lastRenderedPageBreak/>
        <w:t>Employment</w:t>
      </w:r>
    </w:p>
    <w:tbl>
      <w:tblPr>
        <w:tblStyle w:val="TableGrid"/>
        <w:tblW w:w="0" w:type="auto"/>
        <w:tblLook w:val="04A0" w:firstRow="1" w:lastRow="0" w:firstColumn="1" w:lastColumn="0" w:noHBand="0" w:noVBand="1"/>
        <w:tblDescription w:val="Decorative"/>
      </w:tblPr>
      <w:tblGrid>
        <w:gridCol w:w="9016"/>
      </w:tblGrid>
      <w:tr w:rsidR="0022725F" w14:paraId="46AD67A3" w14:textId="77777777" w:rsidTr="0022725F">
        <w:tc>
          <w:tcPr>
            <w:tcW w:w="9016" w:type="dxa"/>
          </w:tcPr>
          <w:p w14:paraId="34C5F651" w14:textId="77777777" w:rsidR="0022725F" w:rsidRPr="0022725F" w:rsidRDefault="0022725F" w:rsidP="0022725F">
            <w:pPr>
              <w:spacing w:line="276" w:lineRule="auto"/>
              <w:jc w:val="both"/>
              <w:rPr>
                <w:b/>
              </w:rPr>
            </w:pPr>
            <w:r w:rsidRPr="0022725F">
              <w:rPr>
                <w:b/>
              </w:rPr>
              <w:t>Recommendation 58</w:t>
            </w:r>
          </w:p>
          <w:p w14:paraId="29875D5D" w14:textId="77777777" w:rsidR="0022725F" w:rsidRPr="00E81E3D" w:rsidRDefault="0022725F" w:rsidP="0022725F">
            <w:pPr>
              <w:widowControl w:val="0"/>
              <w:autoSpaceDE w:val="0"/>
              <w:autoSpaceDN w:val="0"/>
              <w:spacing w:before="60"/>
              <w:ind w:right="714"/>
            </w:pPr>
            <w:r w:rsidRPr="00E81E3D">
              <w:t>The committee recommends that a National Autism Employment Framework be agreed under the auspices of the National Autism Strategy. The framework should identify actions</w:t>
            </w:r>
            <w:r w:rsidRPr="00E81E3D">
              <w:rPr>
                <w:spacing w:val="-4"/>
              </w:rPr>
              <w:t xml:space="preserve"> </w:t>
            </w:r>
            <w:r w:rsidRPr="00E81E3D">
              <w:t>to:</w:t>
            </w:r>
          </w:p>
          <w:p w14:paraId="49158DC1"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promote the benefits of hiring autistic people to governments and business;</w:t>
            </w:r>
          </w:p>
          <w:p w14:paraId="5AEBFE34"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further establish governments as employers of choice;</w:t>
            </w:r>
          </w:p>
          <w:p w14:paraId="2A83E99B"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incentivise private sector employment;</w:t>
            </w:r>
          </w:p>
          <w:p w14:paraId="21A5BB8C"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encourage the expansion of both ICT and non-ICT autism-focused employment programs;</w:t>
            </w:r>
          </w:p>
          <w:p w14:paraId="6E18B456"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support self-employment options for autistic people;</w:t>
            </w:r>
          </w:p>
          <w:p w14:paraId="44CB3636"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improve information for autistic job seekers about available supports and DES providers with autism experience; and</w:t>
            </w:r>
          </w:p>
          <w:p w14:paraId="42EB8FE8"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improve autism-related education, training and resources for DES providers and employers (building on existing resources where available).</w:t>
            </w:r>
          </w:p>
          <w:p w14:paraId="250EDFD3" w14:textId="6D9308F4" w:rsidR="0022725F" w:rsidRDefault="0022725F" w:rsidP="0022725F">
            <w:pPr>
              <w:rPr>
                <w:b/>
              </w:rPr>
            </w:pPr>
            <w:r w:rsidRPr="00E81E3D">
              <w:t xml:space="preserve">The framework should also be compatible with the </w:t>
            </w:r>
            <w:r w:rsidRPr="00E81E3D">
              <w:rPr>
                <w:i/>
              </w:rPr>
              <w:t xml:space="preserve">Employ My Ability </w:t>
            </w:r>
            <w:r w:rsidRPr="00E81E3D">
              <w:t>strategy and should help inform the new Disability Employment Support (DES) Model being developed by the Department of Social Services for implementation in 2023</w:t>
            </w:r>
            <w:r>
              <w:t>.</w:t>
            </w:r>
          </w:p>
        </w:tc>
      </w:tr>
    </w:tbl>
    <w:p w14:paraId="50580528" w14:textId="77777777" w:rsidR="0022725F" w:rsidRPr="005B2C16" w:rsidRDefault="0022725F" w:rsidP="008337E4"/>
    <w:p w14:paraId="1260D4CF" w14:textId="0AB7BE6C" w:rsidR="00AF4BD8" w:rsidRPr="007A28A6" w:rsidRDefault="00A57920" w:rsidP="00AF4BD8">
      <w:pPr>
        <w:rPr>
          <w:b/>
        </w:rPr>
      </w:pPr>
      <w:r>
        <w:rPr>
          <w:b/>
        </w:rPr>
        <w:t>Support</w:t>
      </w:r>
      <w:r w:rsidR="000378FD">
        <w:rPr>
          <w:b/>
        </w:rPr>
        <w:t>ed</w:t>
      </w:r>
      <w:r>
        <w:rPr>
          <w:b/>
        </w:rPr>
        <w:t xml:space="preserve"> in principle</w:t>
      </w:r>
    </w:p>
    <w:p w14:paraId="782A3C54" w14:textId="5660153F" w:rsidR="00D84630" w:rsidRPr="00A61562" w:rsidRDefault="00AF4BD8" w:rsidP="005B2C16">
      <w:pPr>
        <w:spacing w:after="240"/>
      </w:pPr>
      <w:r w:rsidRPr="007A28A6">
        <w:t>In December 2021, the</w:t>
      </w:r>
      <w:r w:rsidRPr="00A61562">
        <w:t xml:space="preserve"> </w:t>
      </w:r>
      <w:r w:rsidR="00B62FDB">
        <w:t>Australian</w:t>
      </w:r>
      <w:r w:rsidR="00B62FDB" w:rsidRPr="00A61562" w:rsidDel="001F60D7">
        <w:t xml:space="preserve"> </w:t>
      </w:r>
      <w:r w:rsidRPr="00A61562">
        <w:t>Government released Emp</w:t>
      </w:r>
      <w:r w:rsidR="00D84630">
        <w:t xml:space="preserve">loy My Ability – </w:t>
      </w:r>
      <w:r w:rsidR="00D84630" w:rsidRPr="00477B0A">
        <w:t>the Disability </w:t>
      </w:r>
      <w:r w:rsidRPr="00477B0A">
        <w:t>Employment Strategy as a ten year commitment to improving employment</w:t>
      </w:r>
      <w:r w:rsidRPr="00A61562">
        <w:t xml:space="preserve"> outcomes for people with disability, including</w:t>
      </w:r>
      <w:r w:rsidR="00C0611C">
        <w:t xml:space="preserve"> autistic</w:t>
      </w:r>
      <w:r w:rsidRPr="00A61562">
        <w:t xml:space="preserve"> </w:t>
      </w:r>
      <w:r w:rsidR="001F60D7">
        <w:t>people</w:t>
      </w:r>
      <w:r w:rsidRPr="00A61562">
        <w:t>.</w:t>
      </w:r>
    </w:p>
    <w:p w14:paraId="293A0638" w14:textId="07C483AE" w:rsidR="00D84630" w:rsidRPr="00A61562" w:rsidRDefault="00AF4BD8" w:rsidP="005B2C16">
      <w:pPr>
        <w:spacing w:after="240"/>
      </w:pPr>
      <w:r w:rsidRPr="00A61562">
        <w:t xml:space="preserve">Through Employ My Ability’s priority areas, the </w:t>
      </w:r>
      <w:r w:rsidR="00B62FDB">
        <w:t>Australian</w:t>
      </w:r>
      <w:r w:rsidR="00B62FDB" w:rsidRPr="00A61562">
        <w:t xml:space="preserve"> </w:t>
      </w:r>
      <w:r w:rsidRPr="00A61562">
        <w:t>Government recognises that more needs to be done to support employers to hire and retai</w:t>
      </w:r>
      <w:r w:rsidR="000378FD">
        <w:t>n employees with disability, as </w:t>
      </w:r>
      <w:r w:rsidRPr="00A61562">
        <w:t>well as to improve the supports and services available to people with disability to ensure they have choice and control over their careers.</w:t>
      </w:r>
    </w:p>
    <w:p w14:paraId="5983B16B" w14:textId="3D98D9CA" w:rsidR="00B965A5" w:rsidRPr="00D84630" w:rsidRDefault="00AF4BD8" w:rsidP="005B2C16">
      <w:pPr>
        <w:spacing w:after="240"/>
      </w:pPr>
      <w:r w:rsidRPr="00A61562">
        <w:t xml:space="preserve">The </w:t>
      </w:r>
      <w:r w:rsidR="00B62FDB">
        <w:t>Australian</w:t>
      </w:r>
      <w:r w:rsidR="00B62FDB" w:rsidRPr="00A61562">
        <w:t xml:space="preserve"> </w:t>
      </w:r>
      <w:r w:rsidRPr="00A61562">
        <w:t xml:space="preserve">Government is also considering how particular cohorts of people with disability, including </w:t>
      </w:r>
      <w:r w:rsidR="00C0611C">
        <w:t xml:space="preserve">autistic </w:t>
      </w:r>
      <w:r w:rsidRPr="00A61562">
        <w:t xml:space="preserve">people, can be better supported as part of the new disability employment support model. </w:t>
      </w:r>
      <w:r w:rsidR="0042424B">
        <w:t>The</w:t>
      </w:r>
      <w:r w:rsidRPr="00A61562">
        <w:t xml:space="preserve"> D</w:t>
      </w:r>
      <w:r w:rsidR="00C73341">
        <w:t>isability Employment Services (D</w:t>
      </w:r>
      <w:r w:rsidRPr="00A61562">
        <w:t>ES</w:t>
      </w:r>
      <w:r w:rsidR="00C73341">
        <w:t>)</w:t>
      </w:r>
      <w:r w:rsidRPr="00A61562">
        <w:t xml:space="preserve"> Reform Reference Group</w:t>
      </w:r>
      <w:r w:rsidR="0042424B">
        <w:t xml:space="preserve"> provided its final recommendations to the Department of Social Services for consideration in July 2022. The</w:t>
      </w:r>
      <w:r w:rsidRPr="00A61562">
        <w:t xml:space="preserve"> Intellectual Disability, Aut</w:t>
      </w:r>
      <w:r w:rsidR="00477B0A">
        <w:t xml:space="preserve">ism and Psychosocial Disability </w:t>
      </w:r>
      <w:r w:rsidRPr="00A61562">
        <w:t>Working Group</w:t>
      </w:r>
      <w:r w:rsidR="0042424B">
        <w:t xml:space="preserve"> informed these recommendations to ensure the needs of autistic people were represented in the discussion and recommendations</w:t>
      </w:r>
      <w:r w:rsidRPr="00A61562">
        <w:t xml:space="preserve">. </w:t>
      </w:r>
    </w:p>
    <w:p w14:paraId="590B773A" w14:textId="060BDD37" w:rsidR="007E5ABB" w:rsidRPr="00F119F5" w:rsidRDefault="00F119F5" w:rsidP="005B2C16">
      <w:pPr>
        <w:spacing w:after="240"/>
      </w:pPr>
      <w:r w:rsidRPr="00F119F5">
        <w:t>The A</w:t>
      </w:r>
      <w:r w:rsidR="007E5ABB">
        <w:t xml:space="preserve">ustralian </w:t>
      </w:r>
      <w:r w:rsidRPr="00F119F5">
        <w:t>P</w:t>
      </w:r>
      <w:r w:rsidR="007E5ABB">
        <w:t xml:space="preserve">ublic </w:t>
      </w:r>
      <w:r w:rsidRPr="00F119F5">
        <w:t>S</w:t>
      </w:r>
      <w:r w:rsidR="007E5ABB">
        <w:t xml:space="preserve">ervice </w:t>
      </w:r>
      <w:r w:rsidRPr="00F119F5">
        <w:t>C</w:t>
      </w:r>
      <w:r w:rsidR="007E5ABB">
        <w:t>ommission (APSC)</w:t>
      </w:r>
      <w:r w:rsidRPr="00F119F5">
        <w:t xml:space="preserve"> is supportive of </w:t>
      </w:r>
      <w:r w:rsidR="000378FD">
        <w:t xml:space="preserve">this recommendation. </w:t>
      </w:r>
      <w:r w:rsidRPr="00F119F5">
        <w:t xml:space="preserve">This will be considered as </w:t>
      </w:r>
      <w:r w:rsidR="007E5ABB">
        <w:t>the APSC</w:t>
      </w:r>
      <w:r w:rsidRPr="00F119F5">
        <w:t xml:space="preserve"> roll</w:t>
      </w:r>
      <w:r w:rsidR="007E5ABB">
        <w:t>s</w:t>
      </w:r>
      <w:r w:rsidRPr="00F119F5">
        <w:t xml:space="preserve"> out work in </w:t>
      </w:r>
      <w:r w:rsidR="000378FD">
        <w:t xml:space="preserve">the disability employment space, </w:t>
      </w:r>
      <w:r w:rsidRPr="00F119F5">
        <w:t xml:space="preserve">and diversity and inclusion initiatives more broadly. Some examples of activities that have been delivered or </w:t>
      </w:r>
      <w:r w:rsidR="000378FD">
        <w:t xml:space="preserve">that </w:t>
      </w:r>
      <w:r w:rsidRPr="00F119F5">
        <w:t>are underway include:</w:t>
      </w:r>
    </w:p>
    <w:p w14:paraId="7C10626D" w14:textId="3107F90C" w:rsidR="00F119F5" w:rsidRDefault="001F60D7" w:rsidP="005B2C16">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D84630">
        <w:rPr>
          <w:rFonts w:ascii="Times New Roman" w:hAnsi="Times New Roman" w:cs="Times New Roman"/>
          <w:sz w:val="24"/>
          <w:szCs w:val="24"/>
        </w:rPr>
        <w:t xml:space="preserve">The </w:t>
      </w:r>
      <w:r w:rsidR="00F119F5" w:rsidRPr="00D84630">
        <w:rPr>
          <w:rFonts w:ascii="Times New Roman" w:hAnsi="Times New Roman" w:cs="Times New Roman"/>
          <w:sz w:val="24"/>
          <w:szCs w:val="24"/>
        </w:rPr>
        <w:t>A</w:t>
      </w:r>
      <w:r w:rsidR="007E5ABB" w:rsidRPr="00D84630">
        <w:rPr>
          <w:rFonts w:ascii="Times New Roman" w:hAnsi="Times New Roman" w:cs="Times New Roman"/>
          <w:sz w:val="24"/>
          <w:szCs w:val="24"/>
        </w:rPr>
        <w:t xml:space="preserve">ustralian </w:t>
      </w:r>
      <w:r w:rsidR="00F119F5" w:rsidRPr="00D84630">
        <w:rPr>
          <w:rFonts w:ascii="Times New Roman" w:hAnsi="Times New Roman" w:cs="Times New Roman"/>
          <w:sz w:val="24"/>
          <w:szCs w:val="24"/>
        </w:rPr>
        <w:t>P</w:t>
      </w:r>
      <w:r w:rsidR="007E5ABB" w:rsidRPr="00D84630">
        <w:rPr>
          <w:rFonts w:ascii="Times New Roman" w:hAnsi="Times New Roman" w:cs="Times New Roman"/>
          <w:sz w:val="24"/>
          <w:szCs w:val="24"/>
        </w:rPr>
        <w:t xml:space="preserve">ublic </w:t>
      </w:r>
      <w:r w:rsidR="00F119F5" w:rsidRPr="00D84630">
        <w:rPr>
          <w:rFonts w:ascii="Times New Roman" w:hAnsi="Times New Roman" w:cs="Times New Roman"/>
          <w:sz w:val="24"/>
          <w:szCs w:val="24"/>
        </w:rPr>
        <w:t>S</w:t>
      </w:r>
      <w:r w:rsidR="007E5ABB" w:rsidRPr="00D84630">
        <w:rPr>
          <w:rFonts w:ascii="Times New Roman" w:hAnsi="Times New Roman" w:cs="Times New Roman"/>
          <w:sz w:val="24"/>
          <w:szCs w:val="24"/>
        </w:rPr>
        <w:t>ervice (APS)</w:t>
      </w:r>
      <w:r w:rsidR="00F119F5" w:rsidRPr="00D84630">
        <w:rPr>
          <w:rFonts w:ascii="Times New Roman" w:hAnsi="Times New Roman" w:cs="Times New Roman"/>
          <w:sz w:val="24"/>
          <w:szCs w:val="24"/>
        </w:rPr>
        <w:t xml:space="preserve"> Disability Employment Strategy 2020-2025</w:t>
      </w:r>
      <w:r w:rsidRPr="00D84630">
        <w:rPr>
          <w:rFonts w:ascii="Times New Roman" w:hAnsi="Times New Roman" w:cs="Times New Roman"/>
          <w:sz w:val="24"/>
          <w:szCs w:val="24"/>
        </w:rPr>
        <w:t xml:space="preserve"> </w:t>
      </w:r>
      <w:r w:rsidR="00F119F5" w:rsidRPr="00D84630">
        <w:rPr>
          <w:rFonts w:ascii="Times New Roman" w:hAnsi="Times New Roman" w:cs="Times New Roman"/>
          <w:sz w:val="24"/>
          <w:szCs w:val="24"/>
        </w:rPr>
        <w:t>includes actions for agencies to improve attraction, recruitment and retention of people with disability and improve disability awareness and confidence</w:t>
      </w:r>
      <w:r w:rsidR="007E5ABB" w:rsidRPr="00D84630">
        <w:rPr>
          <w:rFonts w:ascii="Times New Roman" w:hAnsi="Times New Roman" w:cs="Times New Roman"/>
          <w:sz w:val="24"/>
          <w:szCs w:val="24"/>
        </w:rPr>
        <w:t>.</w:t>
      </w:r>
    </w:p>
    <w:p w14:paraId="2F83ED8E" w14:textId="288C3454" w:rsidR="00E719C4" w:rsidRPr="00E719C4" w:rsidRDefault="00E719C4" w:rsidP="00E719C4">
      <w:pPr>
        <w:spacing w:after="160" w:line="259" w:lineRule="auto"/>
        <w:rPr>
          <w:rFonts w:eastAsiaTheme="minorHAnsi"/>
        </w:rPr>
      </w:pPr>
      <w:r>
        <w:br w:type="page"/>
      </w:r>
    </w:p>
    <w:p w14:paraId="1B9CF9FE" w14:textId="3449ACF8" w:rsidR="00F119F5" w:rsidRPr="00D84630" w:rsidRDefault="001F60D7" w:rsidP="00D84630">
      <w:pPr>
        <w:pStyle w:val="ListParagraph"/>
        <w:numPr>
          <w:ilvl w:val="0"/>
          <w:numId w:val="7"/>
        </w:numPr>
        <w:spacing w:after="0" w:line="240" w:lineRule="auto"/>
        <w:ind w:left="714" w:hanging="357"/>
        <w:rPr>
          <w:rFonts w:ascii="Times New Roman" w:hAnsi="Times New Roman" w:cs="Times New Roman"/>
          <w:sz w:val="24"/>
          <w:szCs w:val="24"/>
        </w:rPr>
      </w:pPr>
      <w:r w:rsidRPr="00D84630">
        <w:rPr>
          <w:rFonts w:ascii="Times New Roman" w:hAnsi="Times New Roman" w:cs="Times New Roman"/>
          <w:sz w:val="24"/>
          <w:szCs w:val="24"/>
        </w:rPr>
        <w:lastRenderedPageBreak/>
        <w:t xml:space="preserve">An </w:t>
      </w:r>
      <w:r w:rsidR="00F119F5" w:rsidRPr="00D84630">
        <w:rPr>
          <w:rFonts w:ascii="Times New Roman" w:hAnsi="Times New Roman" w:cs="Times New Roman"/>
          <w:sz w:val="24"/>
          <w:szCs w:val="24"/>
        </w:rPr>
        <w:t>Affirmative measures cross-agency project is underway to uncover barriers or opportunities to use the Affirmative measures employment provisions</w:t>
      </w:r>
      <w:r w:rsidRPr="00D84630">
        <w:rPr>
          <w:rFonts w:ascii="Times New Roman" w:hAnsi="Times New Roman" w:cs="Times New Roman"/>
          <w:sz w:val="24"/>
          <w:szCs w:val="24"/>
        </w:rPr>
        <w:t>. T</w:t>
      </w:r>
      <w:r w:rsidR="00477B0A">
        <w:rPr>
          <w:rFonts w:ascii="Times New Roman" w:hAnsi="Times New Roman" w:cs="Times New Roman"/>
          <w:sz w:val="24"/>
          <w:szCs w:val="24"/>
        </w:rPr>
        <w:t>his </w:t>
      </w:r>
      <w:r w:rsidR="00F119F5" w:rsidRPr="00D84630">
        <w:rPr>
          <w:rFonts w:ascii="Times New Roman" w:hAnsi="Times New Roman" w:cs="Times New Roman"/>
          <w:sz w:val="24"/>
          <w:szCs w:val="24"/>
        </w:rPr>
        <w:t>inc</w:t>
      </w:r>
      <w:r w:rsidR="004A0277" w:rsidRPr="00D84630">
        <w:rPr>
          <w:rFonts w:ascii="Times New Roman" w:hAnsi="Times New Roman" w:cs="Times New Roman"/>
          <w:sz w:val="24"/>
          <w:szCs w:val="24"/>
        </w:rPr>
        <w:t>l</w:t>
      </w:r>
      <w:r w:rsidR="00477B0A">
        <w:rPr>
          <w:rFonts w:ascii="Times New Roman" w:hAnsi="Times New Roman" w:cs="Times New Roman"/>
          <w:sz w:val="24"/>
          <w:szCs w:val="24"/>
        </w:rPr>
        <w:t>udes </w:t>
      </w:r>
      <w:r w:rsidR="00F119F5" w:rsidRPr="00D84630">
        <w:rPr>
          <w:rFonts w:ascii="Times New Roman" w:hAnsi="Times New Roman" w:cs="Times New Roman"/>
          <w:sz w:val="24"/>
          <w:szCs w:val="24"/>
        </w:rPr>
        <w:t>improving understanding and consistent application of bulk recruitment activities using the provision to enhance candidate and agency experience.</w:t>
      </w:r>
    </w:p>
    <w:p w14:paraId="702F4BA1" w14:textId="2A0B1015" w:rsidR="00F119F5" w:rsidRPr="00D84630" w:rsidRDefault="00F119F5" w:rsidP="00D84630">
      <w:pPr>
        <w:pStyle w:val="ListParagraph"/>
        <w:numPr>
          <w:ilvl w:val="0"/>
          <w:numId w:val="7"/>
        </w:numPr>
        <w:spacing w:after="0" w:line="240" w:lineRule="auto"/>
        <w:ind w:left="714" w:hanging="357"/>
        <w:rPr>
          <w:rFonts w:ascii="Times New Roman" w:hAnsi="Times New Roman" w:cs="Times New Roman"/>
          <w:sz w:val="24"/>
          <w:szCs w:val="24"/>
        </w:rPr>
      </w:pPr>
      <w:r w:rsidRPr="00D84630">
        <w:rPr>
          <w:rFonts w:ascii="Times New Roman" w:hAnsi="Times New Roman" w:cs="Times New Roman"/>
          <w:sz w:val="24"/>
          <w:szCs w:val="24"/>
        </w:rPr>
        <w:t>Practical Guide around neurodiversity</w:t>
      </w:r>
      <w:r w:rsidR="004A0277" w:rsidRPr="00D84630">
        <w:rPr>
          <w:rFonts w:ascii="Times New Roman" w:hAnsi="Times New Roman" w:cs="Times New Roman"/>
          <w:sz w:val="24"/>
          <w:szCs w:val="24"/>
        </w:rPr>
        <w:t xml:space="preserve"> investigating </w:t>
      </w:r>
      <w:r w:rsidRPr="00D84630">
        <w:rPr>
          <w:rFonts w:ascii="Times New Roman" w:hAnsi="Times New Roman" w:cs="Times New Roman"/>
          <w:sz w:val="24"/>
          <w:szCs w:val="24"/>
        </w:rPr>
        <w:t>potential guidance for attracting, recruiting and retaining neurodiver</w:t>
      </w:r>
      <w:r w:rsidR="001F60D7" w:rsidRPr="00D84630">
        <w:rPr>
          <w:rFonts w:ascii="Times New Roman" w:hAnsi="Times New Roman" w:cs="Times New Roman"/>
          <w:sz w:val="24"/>
          <w:szCs w:val="24"/>
        </w:rPr>
        <w:t>gent people</w:t>
      </w:r>
      <w:r w:rsidRPr="00D84630">
        <w:rPr>
          <w:rFonts w:ascii="Times New Roman" w:hAnsi="Times New Roman" w:cs="Times New Roman"/>
          <w:sz w:val="24"/>
          <w:szCs w:val="24"/>
        </w:rPr>
        <w:t xml:space="preserve">. </w:t>
      </w:r>
    </w:p>
    <w:p w14:paraId="3F21D18C" w14:textId="502CAE1B" w:rsidR="007E5ABB" w:rsidRPr="00D85A6F" w:rsidRDefault="001F60D7" w:rsidP="00D85A6F">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D84630">
        <w:rPr>
          <w:rFonts w:ascii="Times New Roman" w:hAnsi="Times New Roman" w:cs="Times New Roman"/>
          <w:sz w:val="24"/>
          <w:szCs w:val="24"/>
        </w:rPr>
        <w:t>G</w:t>
      </w:r>
      <w:r w:rsidR="00F119F5" w:rsidRPr="00D84630">
        <w:rPr>
          <w:rFonts w:ascii="Times New Roman" w:hAnsi="Times New Roman" w:cs="Times New Roman"/>
          <w:sz w:val="24"/>
          <w:szCs w:val="24"/>
        </w:rPr>
        <w:t>uidance provided to agencies to establish Disability Contact Officers as a single point of contact to provide advice and support to employees with disability and their managers to assist with reasonable adjustments, career development and other issues that may arise.</w:t>
      </w:r>
    </w:p>
    <w:p w14:paraId="06AD6E62" w14:textId="644E6632" w:rsidR="00CA4850" w:rsidRPr="00F119F5" w:rsidRDefault="007E5ABB" w:rsidP="00D85A6F">
      <w:pPr>
        <w:spacing w:after="240"/>
      </w:pPr>
      <w:r>
        <w:t>The APSC</w:t>
      </w:r>
      <w:r w:rsidR="00F119F5" w:rsidRPr="00F119F5">
        <w:t xml:space="preserve"> </w:t>
      </w:r>
      <w:r>
        <w:t>will conside</w:t>
      </w:r>
      <w:r w:rsidR="004A0277">
        <w:t xml:space="preserve">r </w:t>
      </w:r>
      <w:r w:rsidR="00C0611C">
        <w:t>autistic</w:t>
      </w:r>
      <w:r>
        <w:t xml:space="preserve"> people</w:t>
      </w:r>
      <w:r w:rsidR="00F119F5" w:rsidRPr="00F119F5">
        <w:t xml:space="preserve"> throughout the development and delivery of these projects.</w:t>
      </w:r>
    </w:p>
    <w:p w14:paraId="1A1D3B4B" w14:textId="69AABF56" w:rsidR="008A3F3F" w:rsidRPr="00D85A6F" w:rsidRDefault="00F119F5" w:rsidP="00D85A6F">
      <w:pPr>
        <w:spacing w:after="240"/>
      </w:pPr>
      <w:r w:rsidRPr="00F119F5">
        <w:t>The APSC recognises that further work is needed support the employment of people with neuro-diverse conditions, including autism, if the APS is to be con</w:t>
      </w:r>
      <w:r w:rsidR="00477B0A">
        <w:t>sidered an employer of </w:t>
      </w:r>
      <w:r w:rsidR="007E5ABB">
        <w:t xml:space="preserve">choice. </w:t>
      </w:r>
    </w:p>
    <w:tbl>
      <w:tblPr>
        <w:tblStyle w:val="TableGrid"/>
        <w:tblW w:w="0" w:type="auto"/>
        <w:tblLook w:val="04A0" w:firstRow="1" w:lastRow="0" w:firstColumn="1" w:lastColumn="0" w:noHBand="0" w:noVBand="1"/>
        <w:tblDescription w:val="Decorative"/>
      </w:tblPr>
      <w:tblGrid>
        <w:gridCol w:w="9016"/>
      </w:tblGrid>
      <w:tr w:rsidR="0022725F" w14:paraId="5CB2A0E5" w14:textId="77777777" w:rsidTr="0022725F">
        <w:tc>
          <w:tcPr>
            <w:tcW w:w="9016" w:type="dxa"/>
          </w:tcPr>
          <w:p w14:paraId="61D4698B" w14:textId="77777777" w:rsidR="0022725F" w:rsidRPr="0022725F" w:rsidRDefault="0022725F" w:rsidP="0022725F">
            <w:pPr>
              <w:spacing w:line="276" w:lineRule="auto"/>
              <w:jc w:val="both"/>
              <w:rPr>
                <w:b/>
              </w:rPr>
            </w:pPr>
            <w:r w:rsidRPr="0022725F">
              <w:rPr>
                <w:b/>
              </w:rPr>
              <w:t>Recommendation 59</w:t>
            </w:r>
          </w:p>
          <w:p w14:paraId="5876B2B5" w14:textId="2CE1ED56" w:rsidR="0022725F" w:rsidRDefault="0022725F" w:rsidP="0022725F">
            <w:pPr>
              <w:rPr>
                <w:b/>
              </w:rPr>
            </w:pPr>
            <w:r w:rsidRPr="00E81E3D">
              <w:t>The committee recommends that the Department of Social Services ensure that</w:t>
            </w:r>
            <w:r w:rsidRPr="00E81E3D">
              <w:rPr>
                <w:spacing w:val="-7"/>
              </w:rPr>
              <w:t xml:space="preserve"> </w:t>
            </w:r>
            <w:r w:rsidRPr="00E81E3D">
              <w:t>all</w:t>
            </w:r>
            <w:r w:rsidRPr="00E81E3D">
              <w:rPr>
                <w:spacing w:val="-7"/>
              </w:rPr>
              <w:t xml:space="preserve"> </w:t>
            </w:r>
            <w:r w:rsidRPr="00E81E3D">
              <w:t>monitoring</w:t>
            </w:r>
            <w:r w:rsidRPr="00E81E3D">
              <w:rPr>
                <w:spacing w:val="-4"/>
              </w:rPr>
              <w:t xml:space="preserve"> </w:t>
            </w:r>
            <w:r w:rsidRPr="00E81E3D">
              <w:t>and</w:t>
            </w:r>
            <w:r w:rsidRPr="00E81E3D">
              <w:rPr>
                <w:spacing w:val="-6"/>
              </w:rPr>
              <w:t xml:space="preserve"> </w:t>
            </w:r>
            <w:r w:rsidRPr="00E81E3D">
              <w:t>evaluation</w:t>
            </w:r>
            <w:r w:rsidRPr="00E81E3D">
              <w:rPr>
                <w:spacing w:val="-6"/>
              </w:rPr>
              <w:t xml:space="preserve"> </w:t>
            </w:r>
            <w:r w:rsidRPr="00E81E3D">
              <w:t>activities</w:t>
            </w:r>
            <w:r w:rsidRPr="00E81E3D">
              <w:rPr>
                <w:spacing w:val="-4"/>
              </w:rPr>
              <w:t xml:space="preserve"> </w:t>
            </w:r>
            <w:r w:rsidRPr="00E81E3D">
              <w:t>related</w:t>
            </w:r>
            <w:r w:rsidRPr="00E81E3D">
              <w:rPr>
                <w:spacing w:val="-5"/>
              </w:rPr>
              <w:t xml:space="preserve"> </w:t>
            </w:r>
            <w:r w:rsidRPr="00E81E3D">
              <w:t>to</w:t>
            </w:r>
            <w:r w:rsidRPr="00E81E3D">
              <w:rPr>
                <w:spacing w:val="-5"/>
              </w:rPr>
              <w:t xml:space="preserve"> </w:t>
            </w:r>
            <w:r w:rsidRPr="00E81E3D">
              <w:t>the</w:t>
            </w:r>
            <w:r w:rsidRPr="00E81E3D">
              <w:rPr>
                <w:spacing w:val="-6"/>
              </w:rPr>
              <w:t xml:space="preserve"> </w:t>
            </w:r>
            <w:r w:rsidRPr="00E81E3D">
              <w:rPr>
                <w:i/>
              </w:rPr>
              <w:t>Employ</w:t>
            </w:r>
            <w:r w:rsidRPr="00E81E3D">
              <w:rPr>
                <w:i/>
                <w:spacing w:val="-9"/>
              </w:rPr>
              <w:t xml:space="preserve"> </w:t>
            </w:r>
            <w:r w:rsidRPr="00E81E3D">
              <w:rPr>
                <w:i/>
              </w:rPr>
              <w:t>My</w:t>
            </w:r>
            <w:r w:rsidRPr="00E81E3D">
              <w:rPr>
                <w:i/>
                <w:spacing w:val="-5"/>
              </w:rPr>
              <w:t xml:space="preserve"> </w:t>
            </w:r>
            <w:r w:rsidRPr="00E81E3D">
              <w:rPr>
                <w:i/>
              </w:rPr>
              <w:t xml:space="preserve">Ability </w:t>
            </w:r>
            <w:r w:rsidRPr="00E81E3D">
              <w:t>strategy and the new Disability Employment Support Model allow for disaggregation by disability type, including</w:t>
            </w:r>
            <w:r w:rsidRPr="00E81E3D">
              <w:rPr>
                <w:spacing w:val="-2"/>
              </w:rPr>
              <w:t xml:space="preserve"> </w:t>
            </w:r>
            <w:r w:rsidRPr="00E81E3D">
              <w:t>autism.</w:t>
            </w:r>
          </w:p>
        </w:tc>
      </w:tr>
    </w:tbl>
    <w:p w14:paraId="508E34A9" w14:textId="77777777" w:rsidR="0022725F" w:rsidRPr="006F7992" w:rsidRDefault="0022725F" w:rsidP="008337E4"/>
    <w:p w14:paraId="3D79C199" w14:textId="47F048FE" w:rsidR="004A0277" w:rsidRPr="004A0277" w:rsidRDefault="004A0277" w:rsidP="00A61562">
      <w:pPr>
        <w:rPr>
          <w:b/>
        </w:rPr>
      </w:pPr>
      <w:r>
        <w:rPr>
          <w:b/>
        </w:rPr>
        <w:t>Supported in principle</w:t>
      </w:r>
    </w:p>
    <w:p w14:paraId="6C920C79" w14:textId="19F0E411" w:rsidR="001365A4" w:rsidRPr="00F017B8" w:rsidRDefault="00A61562" w:rsidP="006F7992">
      <w:pPr>
        <w:spacing w:after="240"/>
      </w:pPr>
      <w:r w:rsidRPr="00F017B8">
        <w:t xml:space="preserve">Monitoring and evaluation activities for Employ My Ability will occur through the reporting mechanisms for </w:t>
      </w:r>
      <w:r w:rsidRPr="001F60D7">
        <w:t>Australia’s Disability Strategy</w:t>
      </w:r>
      <w:r w:rsidRPr="001365A4">
        <w:t xml:space="preserve"> </w:t>
      </w:r>
      <w:r w:rsidRPr="00F017B8">
        <w:t xml:space="preserve">including the </w:t>
      </w:r>
      <w:r w:rsidR="004A0277">
        <w:t xml:space="preserve">Strategy’s </w:t>
      </w:r>
      <w:r w:rsidRPr="00F017B8">
        <w:t>Outcomes Framework.</w:t>
      </w:r>
    </w:p>
    <w:p w14:paraId="7C5CEA03" w14:textId="70EE83E0" w:rsidR="001365A4" w:rsidRPr="00F017B8" w:rsidRDefault="00A61562" w:rsidP="006F7992">
      <w:pPr>
        <w:spacing w:after="240"/>
      </w:pPr>
      <w:r w:rsidRPr="00F017B8">
        <w:t>The Department of Social Services</w:t>
      </w:r>
      <w:r w:rsidR="001365A4">
        <w:t xml:space="preserve"> (the department)</w:t>
      </w:r>
      <w:r w:rsidRPr="00F017B8">
        <w:t xml:space="preserve"> is responsible for the implementation of the </w:t>
      </w:r>
      <w:r w:rsidR="004A0277">
        <w:t xml:space="preserve">Strategy’s </w:t>
      </w:r>
      <w:r w:rsidRPr="00F017B8">
        <w:t>Outcomes Framework, which will measure, track and report on outcomes for people with disability over the next 10 years. Reporting under the Outcomes Framework focuses on seven Outcome Areas</w:t>
      </w:r>
      <w:r w:rsidR="004A0277">
        <w:t>,</w:t>
      </w:r>
      <w:r w:rsidRPr="00F017B8">
        <w:t xml:space="preserve"> including employment and financial security.</w:t>
      </w:r>
    </w:p>
    <w:p w14:paraId="39B7CFCA" w14:textId="577C43F2" w:rsidR="00A61562" w:rsidRPr="00F017B8" w:rsidRDefault="00A61562" w:rsidP="006F7992">
      <w:pPr>
        <w:spacing w:after="240"/>
      </w:pPr>
      <w:r w:rsidRPr="00F017B8">
        <w:t>The collection and presentation of outcome measures will involve various disaggregation</w:t>
      </w:r>
      <w:r w:rsidR="004A0277">
        <w:t>,</w:t>
      </w:r>
      <w:r w:rsidRPr="00F017B8">
        <w:t xml:space="preserve"> including gender and age as well as disability type</w:t>
      </w:r>
      <w:r w:rsidR="004A0277">
        <w:t>,</w:t>
      </w:r>
      <w:r w:rsidRPr="00F017B8">
        <w:t xml:space="preserve"> where possible. The abili</w:t>
      </w:r>
      <w:r w:rsidR="001365A4">
        <w:t>ty to </w:t>
      </w:r>
      <w:r w:rsidRPr="00F017B8">
        <w:t>disaggregate data depends on the data collections from which the measures are drawn.</w:t>
      </w:r>
    </w:p>
    <w:p w14:paraId="3E9305B5" w14:textId="068BCAAF" w:rsidR="006A1CA5" w:rsidRDefault="00A61562" w:rsidP="006F7992">
      <w:pPr>
        <w:spacing w:after="240"/>
      </w:pPr>
      <w:r w:rsidRPr="00F017B8">
        <w:t xml:space="preserve">The </w:t>
      </w:r>
      <w:r w:rsidR="001365A4">
        <w:t>department</w:t>
      </w:r>
      <w:r w:rsidRPr="00F017B8">
        <w:t xml:space="preserve"> is committed to improving the quality of data collected regarding people with disability</w:t>
      </w:r>
      <w:r w:rsidR="004A0277">
        <w:t>,</w:t>
      </w:r>
      <w:r w:rsidRPr="00F017B8">
        <w:t xml:space="preserve"> and disability services</w:t>
      </w:r>
      <w:r w:rsidR="004A0277">
        <w:t>,</w:t>
      </w:r>
      <w:r w:rsidRPr="00F017B8">
        <w:t xml:space="preserve"> and supports this recommendation in principle, but is not the final decision maker regarding many of the collections used in the Outcomes Framework.</w:t>
      </w:r>
    </w:p>
    <w:p w14:paraId="05D7A9FD" w14:textId="0C292A51" w:rsidR="0022725F" w:rsidRPr="0022725F" w:rsidRDefault="0022725F" w:rsidP="0022725F">
      <w:pPr>
        <w:spacing w:after="160" w:line="259" w:lineRule="auto"/>
      </w:pPr>
      <w:r>
        <w:br w:type="page"/>
      </w:r>
    </w:p>
    <w:tbl>
      <w:tblPr>
        <w:tblStyle w:val="TableGrid"/>
        <w:tblW w:w="0" w:type="auto"/>
        <w:tblLook w:val="04A0" w:firstRow="1" w:lastRow="0" w:firstColumn="1" w:lastColumn="0" w:noHBand="0" w:noVBand="1"/>
        <w:tblDescription w:val="Decorative"/>
      </w:tblPr>
      <w:tblGrid>
        <w:gridCol w:w="9016"/>
      </w:tblGrid>
      <w:tr w:rsidR="0022725F" w14:paraId="686988FC" w14:textId="77777777" w:rsidTr="0022725F">
        <w:tc>
          <w:tcPr>
            <w:tcW w:w="9016" w:type="dxa"/>
          </w:tcPr>
          <w:p w14:paraId="4B9E9C70" w14:textId="77777777" w:rsidR="0022725F" w:rsidRPr="0022725F" w:rsidRDefault="0022725F" w:rsidP="0022725F">
            <w:pPr>
              <w:spacing w:line="276" w:lineRule="auto"/>
              <w:jc w:val="both"/>
              <w:rPr>
                <w:b/>
              </w:rPr>
            </w:pPr>
            <w:r w:rsidRPr="0022725F">
              <w:rPr>
                <w:b/>
              </w:rPr>
              <w:lastRenderedPageBreak/>
              <w:t>Recommendation 60</w:t>
            </w:r>
          </w:p>
          <w:p w14:paraId="1EE45041" w14:textId="77777777" w:rsidR="0022725F" w:rsidRPr="00E81E3D" w:rsidRDefault="0022725F" w:rsidP="0022725F">
            <w:pPr>
              <w:widowControl w:val="0"/>
              <w:tabs>
                <w:tab w:val="left" w:pos="0"/>
              </w:tabs>
              <w:autoSpaceDE w:val="0"/>
              <w:autoSpaceDN w:val="0"/>
              <w:spacing w:before="60"/>
              <w:ind w:right="716"/>
            </w:pPr>
            <w:r w:rsidRPr="00E81E3D">
              <w:t>The committee recommends that the Department of Social Services incorporate into the design of the new Disability Employment Support Model:</w:t>
            </w:r>
          </w:p>
          <w:p w14:paraId="4AD291B9" w14:textId="77777777" w:rsidR="0022725F"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relevant elements of the National Autism Employment Framework; and</w:t>
            </w:r>
          </w:p>
          <w:p w14:paraId="3E94AACE" w14:textId="64B9E6A7" w:rsidR="0022725F" w:rsidRPr="0022725F"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lessons from autism-specific employment programs about what works in relation to achieving long-term employment outcomes for autistic people.</w:t>
            </w:r>
          </w:p>
        </w:tc>
      </w:tr>
    </w:tbl>
    <w:p w14:paraId="17A1083D" w14:textId="77777777" w:rsidR="0022725F" w:rsidRPr="006F7992" w:rsidRDefault="0022725F" w:rsidP="008337E4"/>
    <w:p w14:paraId="24BFF816" w14:textId="6BDC7A12" w:rsidR="004A0277" w:rsidRPr="004A0277" w:rsidRDefault="004A0277" w:rsidP="00F017B8">
      <w:pPr>
        <w:rPr>
          <w:b/>
        </w:rPr>
      </w:pPr>
      <w:r w:rsidRPr="004A0277">
        <w:rPr>
          <w:b/>
        </w:rPr>
        <w:t>Supported in principle</w:t>
      </w:r>
    </w:p>
    <w:p w14:paraId="584A85D3" w14:textId="74A04606" w:rsidR="00850AA8" w:rsidRDefault="00F017B8" w:rsidP="006F7992">
      <w:pPr>
        <w:spacing w:after="240"/>
      </w:pPr>
      <w:r w:rsidRPr="004A0277">
        <w:t xml:space="preserve">The </w:t>
      </w:r>
      <w:r w:rsidR="00B62FDB" w:rsidRPr="004A0277">
        <w:t>Australian</w:t>
      </w:r>
      <w:r w:rsidR="00B62FDB" w:rsidRPr="004A0277" w:rsidDel="000A61D9">
        <w:t xml:space="preserve"> </w:t>
      </w:r>
      <w:r w:rsidRPr="004A0277">
        <w:t>Government is committed to assisting more people with disability into jobs</w:t>
      </w:r>
      <w:r w:rsidR="0059614D">
        <w:t xml:space="preserve"> so </w:t>
      </w:r>
      <w:r w:rsidRPr="000A61D9">
        <w:t xml:space="preserve">they can enjoy the social and economic benefits that work brings. People with disability and employers need a system that meets their needs and provides the appropriate supports to find and keep a job. The current Disability Employment Services (DES) program will be replaced by the </w:t>
      </w:r>
      <w:r w:rsidR="0042424B">
        <w:t>N</w:t>
      </w:r>
      <w:r w:rsidRPr="000A61D9">
        <w:t xml:space="preserve">ew </w:t>
      </w:r>
      <w:r w:rsidR="0042424B">
        <w:t>D</w:t>
      </w:r>
      <w:r w:rsidRPr="000A61D9">
        <w:t xml:space="preserve">isability </w:t>
      </w:r>
      <w:r w:rsidR="0042424B">
        <w:t>E</w:t>
      </w:r>
      <w:r w:rsidRPr="000A61D9">
        <w:t xml:space="preserve">mployment </w:t>
      </w:r>
      <w:r w:rsidR="0042424B">
        <w:t>S</w:t>
      </w:r>
      <w:r w:rsidRPr="000A61D9">
        <w:t xml:space="preserve">upport </w:t>
      </w:r>
      <w:r w:rsidR="0042424B">
        <w:t>M</w:t>
      </w:r>
      <w:r w:rsidRPr="000A61D9">
        <w:t>odel.</w:t>
      </w:r>
      <w:r w:rsidR="00850AA8">
        <w:t xml:space="preserve"> </w:t>
      </w:r>
    </w:p>
    <w:p w14:paraId="2A4B20C9" w14:textId="69A1015D" w:rsidR="0022725F" w:rsidRDefault="00850AA8" w:rsidP="006F7992">
      <w:pPr>
        <w:spacing w:after="240"/>
      </w:pPr>
      <w:r>
        <w:t>This </w:t>
      </w:r>
      <w:r w:rsidR="00F017B8" w:rsidRPr="000A61D9">
        <w:t>work is being done in collaboration with peo</w:t>
      </w:r>
      <w:r>
        <w:t xml:space="preserve">ple with disability, disability </w:t>
      </w:r>
      <w:r w:rsidR="00F017B8" w:rsidRPr="000A61D9">
        <w:t>representatives, employers, provider representatives, academic</w:t>
      </w:r>
      <w:r w:rsidR="004A0277">
        <w:t>s and other experts o</w:t>
      </w:r>
      <w:r w:rsidR="00F017B8" w:rsidRPr="000A61D9">
        <w:t xml:space="preserve">n disability and employment matters. This has included consultation with </w:t>
      </w:r>
      <w:r w:rsidR="00C0611C">
        <w:t xml:space="preserve">autistic </w:t>
      </w:r>
      <w:r w:rsidR="00F017B8" w:rsidRPr="000A61D9">
        <w:t>people</w:t>
      </w:r>
      <w:r w:rsidR="00C0611C">
        <w:t>,</w:t>
      </w:r>
      <w:r w:rsidR="004A0277">
        <w:t xml:space="preserve"> and </w:t>
      </w:r>
      <w:r w:rsidR="00F017B8" w:rsidRPr="000A61D9">
        <w:t xml:space="preserve">those with </w:t>
      </w:r>
      <w:r w:rsidR="000A61D9">
        <w:t>autism experience and expertise.</w:t>
      </w:r>
    </w:p>
    <w:p w14:paraId="04CC9D1E" w14:textId="69BA98AB" w:rsidR="008E2DF6" w:rsidRPr="008E2DF6" w:rsidRDefault="00362441" w:rsidP="00A12901">
      <w:pPr>
        <w:pStyle w:val="Heading2"/>
      </w:pPr>
      <w:r w:rsidRPr="0022725F">
        <w:t>Health and Mental Health</w:t>
      </w:r>
    </w:p>
    <w:tbl>
      <w:tblPr>
        <w:tblStyle w:val="TableGrid"/>
        <w:tblW w:w="0" w:type="auto"/>
        <w:tblLook w:val="04A0" w:firstRow="1" w:lastRow="0" w:firstColumn="1" w:lastColumn="0" w:noHBand="0" w:noVBand="1"/>
        <w:tblDescription w:val="Decorative"/>
      </w:tblPr>
      <w:tblGrid>
        <w:gridCol w:w="9016"/>
      </w:tblGrid>
      <w:tr w:rsidR="0022725F" w14:paraId="28D2A249" w14:textId="77777777" w:rsidTr="0022725F">
        <w:tc>
          <w:tcPr>
            <w:tcW w:w="9016" w:type="dxa"/>
          </w:tcPr>
          <w:p w14:paraId="005A35F7" w14:textId="77777777" w:rsidR="0022725F" w:rsidRPr="0022725F" w:rsidRDefault="0022725F" w:rsidP="0022725F">
            <w:pPr>
              <w:spacing w:before="1"/>
              <w:jc w:val="both"/>
              <w:rPr>
                <w:b/>
              </w:rPr>
            </w:pPr>
            <w:r w:rsidRPr="0022725F">
              <w:rPr>
                <w:b/>
              </w:rPr>
              <w:t>Recommendation 61</w:t>
            </w:r>
          </w:p>
          <w:p w14:paraId="1FD4F5BC" w14:textId="77777777" w:rsidR="0022725F" w:rsidRPr="00E81E3D" w:rsidRDefault="0022725F" w:rsidP="0022725F">
            <w:pPr>
              <w:widowControl w:val="0"/>
              <w:tabs>
                <w:tab w:val="left" w:pos="0"/>
              </w:tabs>
              <w:autoSpaceDE w:val="0"/>
              <w:autoSpaceDN w:val="0"/>
              <w:spacing w:before="60"/>
              <w:ind w:right="715"/>
            </w:pPr>
            <w:r w:rsidRPr="00E81E3D">
              <w:t>The committee recommends that the Department of Health work with the taskforce established to develop the National Autism Strategy to develop a National</w:t>
            </w:r>
            <w:r w:rsidRPr="00E81E3D">
              <w:rPr>
                <w:spacing w:val="-10"/>
              </w:rPr>
              <w:t xml:space="preserve"> </w:t>
            </w:r>
            <w:r w:rsidRPr="00E81E3D">
              <w:t>Roadmap</w:t>
            </w:r>
            <w:r w:rsidRPr="00E81E3D">
              <w:rPr>
                <w:spacing w:val="-10"/>
              </w:rPr>
              <w:t xml:space="preserve"> </w:t>
            </w:r>
            <w:r w:rsidRPr="00E81E3D">
              <w:t>for</w:t>
            </w:r>
            <w:r w:rsidRPr="00E81E3D">
              <w:rPr>
                <w:spacing w:val="-7"/>
              </w:rPr>
              <w:t xml:space="preserve"> </w:t>
            </w:r>
            <w:r w:rsidRPr="00E81E3D">
              <w:t>Improving</w:t>
            </w:r>
            <w:r w:rsidRPr="00E81E3D">
              <w:rPr>
                <w:spacing w:val="-9"/>
              </w:rPr>
              <w:t xml:space="preserve"> </w:t>
            </w:r>
            <w:r w:rsidRPr="00E81E3D">
              <w:t>Health</w:t>
            </w:r>
            <w:r w:rsidRPr="00E81E3D">
              <w:rPr>
                <w:spacing w:val="-10"/>
              </w:rPr>
              <w:t xml:space="preserve"> </w:t>
            </w:r>
            <w:r w:rsidRPr="00E81E3D">
              <w:t>Services</w:t>
            </w:r>
            <w:r w:rsidRPr="00E81E3D">
              <w:rPr>
                <w:spacing w:val="-11"/>
              </w:rPr>
              <w:t xml:space="preserve"> </w:t>
            </w:r>
            <w:r w:rsidRPr="00E81E3D">
              <w:t>for</w:t>
            </w:r>
            <w:r w:rsidRPr="00E81E3D">
              <w:rPr>
                <w:spacing w:val="-9"/>
              </w:rPr>
              <w:t xml:space="preserve"> </w:t>
            </w:r>
            <w:r w:rsidRPr="00E81E3D">
              <w:t>Autistic</w:t>
            </w:r>
            <w:r w:rsidRPr="00E81E3D">
              <w:rPr>
                <w:spacing w:val="-11"/>
              </w:rPr>
              <w:t xml:space="preserve"> </w:t>
            </w:r>
            <w:r w:rsidRPr="00E81E3D">
              <w:t>People,</w:t>
            </w:r>
            <w:r w:rsidRPr="00E81E3D">
              <w:rPr>
                <w:spacing w:val="-10"/>
              </w:rPr>
              <w:t xml:space="preserve"> </w:t>
            </w:r>
            <w:r w:rsidRPr="00E81E3D">
              <w:t xml:space="preserve">similar to the </w:t>
            </w:r>
            <w:r w:rsidRPr="00E81E3D">
              <w:rPr>
                <w:i/>
              </w:rPr>
              <w:t>National Roadmap for Improving Health Services for People with Intellectual Disability</w:t>
            </w:r>
            <w:r w:rsidRPr="00E81E3D">
              <w:t>. This roadmap should include, but not be limited to, actions that</w:t>
            </w:r>
            <w:r w:rsidRPr="00E81E3D">
              <w:rPr>
                <w:spacing w:val="-3"/>
              </w:rPr>
              <w:t xml:space="preserve"> </w:t>
            </w:r>
            <w:r w:rsidRPr="00E81E3D">
              <w:t>address:</w:t>
            </w:r>
          </w:p>
          <w:p w14:paraId="47E3FF32"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best practice models of care for autistic people, including mental health care;</w:t>
            </w:r>
          </w:p>
          <w:p w14:paraId="10C1F77C"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the alignment of Medicare Benefit Schedule items with best practice models of care for autistic people;</w:t>
            </w:r>
          </w:p>
          <w:p w14:paraId="7C400D1C"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reasonable adjustments for autistic people in health care settings;</w:t>
            </w:r>
          </w:p>
          <w:p w14:paraId="4043ECCC"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the availability and appropriateness of tools and resources to support diagnosis of comorbidities (including mental health conditions) and the provision of reasonable adjustments for autistic people in health care settings;</w:t>
            </w:r>
          </w:p>
          <w:p w14:paraId="08E0313E" w14:textId="77777777" w:rsidR="0022725F" w:rsidRPr="00E81E3D"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better connections between health care service sectors, including mental health services, disability services and the National Disability Insurance Scheme;</w:t>
            </w:r>
          </w:p>
          <w:p w14:paraId="029B0B29" w14:textId="77777777" w:rsidR="0022725F"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the elimination of restrictive practices in health care settings; and</w:t>
            </w:r>
          </w:p>
          <w:p w14:paraId="600E8A0B" w14:textId="050A98F8" w:rsidR="0022725F" w:rsidRPr="0022725F" w:rsidRDefault="0022725F" w:rsidP="0022725F">
            <w:pPr>
              <w:pStyle w:val="ListParagraph"/>
              <w:widowControl w:val="0"/>
              <w:numPr>
                <w:ilvl w:val="0"/>
                <w:numId w:val="1"/>
              </w:numPr>
              <w:tabs>
                <w:tab w:val="left" w:pos="1028"/>
              </w:tabs>
              <w:autoSpaceDE w:val="0"/>
              <w:autoSpaceDN w:val="0"/>
              <w:spacing w:before="3"/>
              <w:ind w:right="1235"/>
              <w:rPr>
                <w:rFonts w:ascii="Times New Roman" w:hAnsi="Times New Roman" w:cs="Times New Roman"/>
                <w:sz w:val="24"/>
                <w:szCs w:val="24"/>
              </w:rPr>
            </w:pPr>
            <w:r w:rsidRPr="00E81E3D">
              <w:rPr>
                <w:rFonts w:ascii="Times New Roman" w:hAnsi="Times New Roman" w:cs="Times New Roman"/>
                <w:sz w:val="24"/>
                <w:szCs w:val="24"/>
              </w:rPr>
              <w:t>improved autism education and training for health professionals.</w:t>
            </w:r>
          </w:p>
        </w:tc>
      </w:tr>
    </w:tbl>
    <w:p w14:paraId="2C4AC0AB" w14:textId="77777777" w:rsidR="0022725F" w:rsidRPr="00B86BB1" w:rsidRDefault="0022725F" w:rsidP="008337E4"/>
    <w:p w14:paraId="7307CEEB" w14:textId="200069C3" w:rsidR="00E81E3D" w:rsidRPr="000246D9" w:rsidRDefault="00E81E3D" w:rsidP="002F7963">
      <w:pPr>
        <w:rPr>
          <w:rFonts w:eastAsiaTheme="minorEastAsia"/>
          <w:b/>
          <w:bCs/>
        </w:rPr>
      </w:pPr>
      <w:r>
        <w:rPr>
          <w:rFonts w:eastAsiaTheme="minorEastAsia"/>
          <w:b/>
          <w:bCs/>
        </w:rPr>
        <w:t>Support</w:t>
      </w:r>
      <w:r w:rsidR="00B94652">
        <w:rPr>
          <w:rFonts w:eastAsiaTheme="minorEastAsia"/>
          <w:b/>
          <w:bCs/>
        </w:rPr>
        <w:t>ed</w:t>
      </w:r>
      <w:r w:rsidR="00A57920">
        <w:rPr>
          <w:rFonts w:eastAsiaTheme="minorEastAsia"/>
          <w:b/>
          <w:bCs/>
        </w:rPr>
        <w:t xml:space="preserve"> in principle</w:t>
      </w:r>
    </w:p>
    <w:p w14:paraId="5C75982D" w14:textId="02743893" w:rsidR="006A1CA5" w:rsidRDefault="00677866" w:rsidP="00677866">
      <w:pPr>
        <w:rPr>
          <w:rFonts w:eastAsiaTheme="minorEastAsia"/>
          <w:lang w:val="en-NZ"/>
        </w:rPr>
      </w:pPr>
      <w:r w:rsidRPr="003F7D3D">
        <w:rPr>
          <w:rFonts w:eastAsiaTheme="minorEastAsia"/>
          <w:lang w:val="en-NZ"/>
        </w:rPr>
        <w:t xml:space="preserve">The </w:t>
      </w:r>
      <w:r w:rsidR="00E718B5">
        <w:rPr>
          <w:rFonts w:eastAsiaTheme="minorEastAsia"/>
          <w:lang w:val="en-NZ"/>
        </w:rPr>
        <w:t xml:space="preserve">Australian </w:t>
      </w:r>
      <w:r w:rsidRPr="003F7D3D">
        <w:rPr>
          <w:rFonts w:eastAsiaTheme="minorEastAsia"/>
          <w:lang w:val="en-NZ"/>
        </w:rPr>
        <w:t>Government has committed to the development of a National Autism Strategy and, as part of that, a National Roadmap to specifically target health and mental health outco</w:t>
      </w:r>
      <w:r w:rsidR="006F7992">
        <w:rPr>
          <w:rFonts w:eastAsiaTheme="minorEastAsia"/>
          <w:lang w:val="en-NZ"/>
        </w:rPr>
        <w:t>mes for autistic Australians.</w:t>
      </w:r>
    </w:p>
    <w:p w14:paraId="1467029B" w14:textId="4BE4613B" w:rsidR="00E718B5" w:rsidRPr="003F7D3D" w:rsidRDefault="00677866" w:rsidP="006F7992">
      <w:pPr>
        <w:spacing w:after="240"/>
        <w:rPr>
          <w:rFonts w:eastAsiaTheme="minorEastAsia"/>
          <w:lang w:val="en-NZ"/>
        </w:rPr>
      </w:pPr>
      <w:r w:rsidRPr="003F7D3D">
        <w:rPr>
          <w:rFonts w:eastAsiaTheme="minorEastAsia"/>
          <w:lang w:val="en-NZ"/>
        </w:rPr>
        <w:lastRenderedPageBreak/>
        <w:t>The new Roadmap will need to consider the synergies wit</w:t>
      </w:r>
      <w:r w:rsidR="00E718B5">
        <w:rPr>
          <w:rFonts w:eastAsiaTheme="minorEastAsia"/>
          <w:lang w:val="en-NZ"/>
        </w:rPr>
        <w:t>h the existing National Roadmap </w:t>
      </w:r>
      <w:r w:rsidRPr="003F7D3D">
        <w:rPr>
          <w:rFonts w:eastAsiaTheme="minorEastAsia"/>
          <w:lang w:val="en-NZ"/>
        </w:rPr>
        <w:t>for Improving the Health of People with Intellectual Disability, including in the following areas:</w:t>
      </w:r>
    </w:p>
    <w:p w14:paraId="74823435" w14:textId="77777777" w:rsidR="00677866" w:rsidRPr="00E718B5" w:rsidRDefault="00677866" w:rsidP="006F7992">
      <w:pPr>
        <w:pStyle w:val="ListParagraph"/>
        <w:numPr>
          <w:ilvl w:val="0"/>
          <w:numId w:val="7"/>
        </w:numPr>
        <w:spacing w:after="0" w:line="240" w:lineRule="auto"/>
        <w:ind w:left="714" w:hanging="357"/>
        <w:rPr>
          <w:rFonts w:ascii="Times New Roman" w:hAnsi="Times New Roman" w:cs="Times New Roman"/>
          <w:sz w:val="24"/>
          <w:szCs w:val="24"/>
        </w:rPr>
      </w:pPr>
      <w:r w:rsidRPr="00E718B5">
        <w:rPr>
          <w:rFonts w:ascii="Times New Roman" w:hAnsi="Times New Roman" w:cs="Times New Roman"/>
          <w:sz w:val="24"/>
          <w:szCs w:val="24"/>
        </w:rPr>
        <w:t>Improved support for people with intellectual disability and their families and carers.</w:t>
      </w:r>
    </w:p>
    <w:p w14:paraId="4219DBAD" w14:textId="77777777" w:rsidR="00677866" w:rsidRPr="00E718B5" w:rsidRDefault="00677866" w:rsidP="006F7992">
      <w:pPr>
        <w:pStyle w:val="ListParagraph"/>
        <w:numPr>
          <w:ilvl w:val="0"/>
          <w:numId w:val="7"/>
        </w:numPr>
        <w:spacing w:after="0" w:line="240" w:lineRule="auto"/>
        <w:ind w:left="714" w:hanging="357"/>
        <w:rPr>
          <w:rFonts w:ascii="Times New Roman" w:hAnsi="Times New Roman" w:cs="Times New Roman"/>
          <w:sz w:val="24"/>
          <w:szCs w:val="24"/>
        </w:rPr>
      </w:pPr>
      <w:r w:rsidRPr="00E718B5">
        <w:rPr>
          <w:rFonts w:ascii="Times New Roman" w:hAnsi="Times New Roman" w:cs="Times New Roman"/>
          <w:sz w:val="24"/>
          <w:szCs w:val="24"/>
        </w:rPr>
        <w:t>Developing better models of health care for people with intellectual disability.</w:t>
      </w:r>
    </w:p>
    <w:p w14:paraId="750D5097" w14:textId="77777777" w:rsidR="00677866" w:rsidRPr="00E718B5" w:rsidRDefault="00677866" w:rsidP="006F7992">
      <w:pPr>
        <w:pStyle w:val="ListParagraph"/>
        <w:numPr>
          <w:ilvl w:val="0"/>
          <w:numId w:val="7"/>
        </w:numPr>
        <w:spacing w:after="0" w:line="240" w:lineRule="auto"/>
        <w:ind w:left="714" w:hanging="357"/>
        <w:rPr>
          <w:rFonts w:ascii="Times New Roman" w:hAnsi="Times New Roman" w:cs="Times New Roman"/>
          <w:sz w:val="24"/>
          <w:szCs w:val="24"/>
        </w:rPr>
      </w:pPr>
      <w:r w:rsidRPr="00E718B5">
        <w:rPr>
          <w:rFonts w:ascii="Times New Roman" w:hAnsi="Times New Roman" w:cs="Times New Roman"/>
          <w:sz w:val="24"/>
          <w:szCs w:val="24"/>
        </w:rPr>
        <w:t>Better use of existing Medicare Benefits Schedule items.</w:t>
      </w:r>
    </w:p>
    <w:p w14:paraId="1AD99B68" w14:textId="77777777" w:rsidR="00677866" w:rsidRPr="00E718B5" w:rsidRDefault="00677866" w:rsidP="00E718B5">
      <w:pPr>
        <w:pStyle w:val="ListParagraph"/>
        <w:numPr>
          <w:ilvl w:val="0"/>
          <w:numId w:val="7"/>
        </w:numPr>
        <w:spacing w:after="0" w:line="240" w:lineRule="auto"/>
        <w:ind w:left="714" w:hanging="357"/>
        <w:rPr>
          <w:rFonts w:ascii="Times New Roman" w:hAnsi="Times New Roman" w:cs="Times New Roman"/>
          <w:sz w:val="24"/>
          <w:szCs w:val="24"/>
        </w:rPr>
      </w:pPr>
      <w:r w:rsidRPr="00E718B5">
        <w:rPr>
          <w:rFonts w:ascii="Times New Roman" w:hAnsi="Times New Roman" w:cs="Times New Roman"/>
          <w:sz w:val="24"/>
          <w:szCs w:val="24"/>
        </w:rPr>
        <w:t>Continuity of care, and better care coordination and integration within the health system.</w:t>
      </w:r>
    </w:p>
    <w:p w14:paraId="292BA3A6" w14:textId="77777777" w:rsidR="00677866" w:rsidRPr="00E718B5" w:rsidRDefault="00677866" w:rsidP="00E718B5">
      <w:pPr>
        <w:pStyle w:val="ListParagraph"/>
        <w:numPr>
          <w:ilvl w:val="0"/>
          <w:numId w:val="7"/>
        </w:numPr>
        <w:spacing w:after="0" w:line="240" w:lineRule="auto"/>
        <w:ind w:left="714" w:hanging="357"/>
        <w:rPr>
          <w:rFonts w:ascii="Times New Roman" w:hAnsi="Times New Roman" w:cs="Times New Roman"/>
          <w:sz w:val="24"/>
          <w:szCs w:val="24"/>
        </w:rPr>
      </w:pPr>
      <w:r w:rsidRPr="00E718B5">
        <w:rPr>
          <w:rFonts w:ascii="Times New Roman" w:hAnsi="Times New Roman" w:cs="Times New Roman"/>
          <w:sz w:val="24"/>
          <w:szCs w:val="24"/>
        </w:rPr>
        <w:t>Better coordination with other sectors.</w:t>
      </w:r>
    </w:p>
    <w:p w14:paraId="3584B213" w14:textId="36991B0B" w:rsidR="00677866" w:rsidRPr="00B86BB1" w:rsidRDefault="00677866" w:rsidP="00B86BB1">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E718B5">
        <w:rPr>
          <w:rFonts w:ascii="Times New Roman" w:hAnsi="Times New Roman" w:cs="Times New Roman"/>
          <w:sz w:val="24"/>
          <w:szCs w:val="24"/>
        </w:rPr>
        <w:t xml:space="preserve">Better support for health care professionals to provide care for people with intellectual disability. </w:t>
      </w:r>
    </w:p>
    <w:p w14:paraId="2EC7CD4E" w14:textId="14B4F625" w:rsidR="00E718B5" w:rsidRPr="003F7D3D" w:rsidRDefault="00677866" w:rsidP="00B86BB1">
      <w:pPr>
        <w:spacing w:after="240"/>
      </w:pPr>
      <w:r w:rsidRPr="003F7D3D">
        <w:t>The 2021-22 Budget provided $1 million over two years to co</w:t>
      </w:r>
      <w:r w:rsidR="00E718B5">
        <w:t>ntinue to build the capacity of </w:t>
      </w:r>
      <w:r w:rsidRPr="003F7D3D">
        <w:t>the mental health workforce through education, training and health promotion to better meet the mental health needs of people with developmental dis</w:t>
      </w:r>
      <w:r w:rsidR="00E718B5">
        <w:t>ability, including autism. This </w:t>
      </w:r>
      <w:r w:rsidRPr="003F7D3D">
        <w:t xml:space="preserve">work is expected to commence in mid-2022. </w:t>
      </w:r>
    </w:p>
    <w:p w14:paraId="69C82A43" w14:textId="1CA5E4F8" w:rsidR="00E718B5" w:rsidRPr="003D029A" w:rsidRDefault="00677866" w:rsidP="00B86BB1">
      <w:pPr>
        <w:spacing w:after="240"/>
      </w:pPr>
      <w:r w:rsidRPr="00E718B5">
        <w:t>There is potential to build on this work to further improve autism education and training for mental health professionals as part of the development of a National Roadmap for Improving Health Services for Autistic People.</w:t>
      </w:r>
    </w:p>
    <w:p w14:paraId="731347D6" w14:textId="6D71B7B7" w:rsidR="00F931AC" w:rsidRPr="00F931AC" w:rsidRDefault="000246D9" w:rsidP="00B86BB1">
      <w:pPr>
        <w:spacing w:after="240"/>
      </w:pPr>
      <w:r>
        <w:t xml:space="preserve">The </w:t>
      </w:r>
      <w:r w:rsidR="00F931AC" w:rsidRPr="00F931AC">
        <w:t>D</w:t>
      </w:r>
      <w:r>
        <w:t xml:space="preserve">epartment of </w:t>
      </w:r>
      <w:r w:rsidR="00F931AC" w:rsidRPr="00F931AC">
        <w:t>S</w:t>
      </w:r>
      <w:r>
        <w:t xml:space="preserve">ocial </w:t>
      </w:r>
      <w:r w:rsidR="00F931AC" w:rsidRPr="00F931AC">
        <w:t>S</w:t>
      </w:r>
      <w:r w:rsidR="00FC55C5">
        <w:t xml:space="preserve">ervices </w:t>
      </w:r>
      <w:r w:rsidR="00F931AC" w:rsidRPr="00F931AC">
        <w:t>is leading work with states and territories through the A</w:t>
      </w:r>
      <w:r>
        <w:t xml:space="preserve">ustralia’s Disability </w:t>
      </w:r>
      <w:r w:rsidR="00FC55C5">
        <w:t>Strategy</w:t>
      </w:r>
      <w:r>
        <w:t>,</w:t>
      </w:r>
      <w:r w:rsidR="00F931AC" w:rsidRPr="00F931AC">
        <w:t xml:space="preserve"> Safety T</w:t>
      </w:r>
      <w:r>
        <w:t>argeted Action Plan (ADS Safety T</w:t>
      </w:r>
      <w:r w:rsidR="00F931AC" w:rsidRPr="00F931AC">
        <w:t>AP</w:t>
      </w:r>
      <w:r>
        <w:t>)</w:t>
      </w:r>
      <w:r w:rsidR="00F931AC" w:rsidRPr="00F931AC">
        <w:t xml:space="preserve"> to make better connections between mainstream service systems and the NDIS. Through better connections, transitions and referrals across systems will be more efficient and effective</w:t>
      </w:r>
      <w:r w:rsidR="00FC55C5">
        <w:t xml:space="preserve">, </w:t>
      </w:r>
      <w:r w:rsidR="00F931AC" w:rsidRPr="00F931AC">
        <w:t>ensuring that a person with disability at risk of harm has the n</w:t>
      </w:r>
      <w:r w:rsidR="00993440">
        <w:t>ecessary safeguards in place to </w:t>
      </w:r>
      <w:r w:rsidR="00F931AC" w:rsidRPr="00F931AC">
        <w:t>reduce the risk of harm.</w:t>
      </w:r>
    </w:p>
    <w:p w14:paraId="6FCEDCA6" w14:textId="0D62CBD4" w:rsidR="0022725F" w:rsidRDefault="00F931AC" w:rsidP="00B86BB1">
      <w:pPr>
        <w:spacing w:after="240"/>
      </w:pPr>
      <w:r w:rsidRPr="00F931AC">
        <w:t>The ADS Safety TAP also supports the commitment under the U</w:t>
      </w:r>
      <w:r w:rsidR="000246D9">
        <w:t xml:space="preserve">nited Nations </w:t>
      </w:r>
      <w:r w:rsidRPr="00F931AC">
        <w:t>C</w:t>
      </w:r>
      <w:r w:rsidR="000246D9">
        <w:t>on</w:t>
      </w:r>
      <w:r w:rsidR="00D44A75">
        <w:t>vention on the Rights of Persons with Disabilities</w:t>
      </w:r>
      <w:r w:rsidR="000246D9">
        <w:t xml:space="preserve"> </w:t>
      </w:r>
      <w:r w:rsidRPr="00F931AC">
        <w:t xml:space="preserve">to reduce and eliminate the use of restrictive practices across government services systems. Each state and territory is responsible for implementing strategies to achieve this within the service systems that they offer. </w:t>
      </w:r>
    </w:p>
    <w:tbl>
      <w:tblPr>
        <w:tblStyle w:val="TableGrid"/>
        <w:tblW w:w="0" w:type="auto"/>
        <w:tblLook w:val="04A0" w:firstRow="1" w:lastRow="0" w:firstColumn="1" w:lastColumn="0" w:noHBand="0" w:noVBand="1"/>
        <w:tblDescription w:val="Decorative"/>
      </w:tblPr>
      <w:tblGrid>
        <w:gridCol w:w="9016"/>
      </w:tblGrid>
      <w:tr w:rsidR="0022725F" w14:paraId="60EB9905" w14:textId="77777777" w:rsidTr="0022725F">
        <w:tc>
          <w:tcPr>
            <w:tcW w:w="9016" w:type="dxa"/>
          </w:tcPr>
          <w:p w14:paraId="4078C0A8" w14:textId="77777777" w:rsidR="0022725F" w:rsidRPr="0022725F" w:rsidRDefault="0022725F" w:rsidP="0022725F">
            <w:pPr>
              <w:jc w:val="both"/>
              <w:rPr>
                <w:b/>
              </w:rPr>
            </w:pPr>
            <w:r w:rsidRPr="0022725F">
              <w:rPr>
                <w:b/>
              </w:rPr>
              <w:t>Recommendation 62</w:t>
            </w:r>
          </w:p>
          <w:p w14:paraId="2F9E2484" w14:textId="7383BA48" w:rsidR="0022725F" w:rsidRDefault="0022725F" w:rsidP="0022725F">
            <w:r w:rsidRPr="00C23743">
              <w:t>The committee recommends that the new National Roadmap for Improving Health Services for Autistic People include an associated National Autism Mental Health Plan aimed specifically at improving the treat</w:t>
            </w:r>
            <w:r>
              <w:t>ment of autistic people with co</w:t>
            </w:r>
            <w:r>
              <w:noBreakHyphen/>
            </w:r>
            <w:r w:rsidRPr="00C23743">
              <w:t>occurring mental health conditions. This Plan should also align with the National Mental Health and Suicide</w:t>
            </w:r>
            <w:r w:rsidRPr="00C23743">
              <w:rPr>
                <w:spacing w:val="-4"/>
              </w:rPr>
              <w:t xml:space="preserve"> </w:t>
            </w:r>
            <w:r w:rsidRPr="00C23743">
              <w:t>Plan.</w:t>
            </w:r>
          </w:p>
        </w:tc>
      </w:tr>
    </w:tbl>
    <w:p w14:paraId="57EC871D" w14:textId="6876E643" w:rsidR="008150D4" w:rsidRPr="00B86BB1" w:rsidRDefault="008150D4" w:rsidP="008337E4"/>
    <w:p w14:paraId="0C85CE44" w14:textId="1F3E6287" w:rsidR="00DD01BB" w:rsidRPr="00DD01BB" w:rsidRDefault="00DD01BB" w:rsidP="000C4947">
      <w:pPr>
        <w:rPr>
          <w:b/>
        </w:rPr>
      </w:pPr>
      <w:r w:rsidRPr="00251B3D">
        <w:rPr>
          <w:b/>
        </w:rPr>
        <w:t>Supported in principle</w:t>
      </w:r>
    </w:p>
    <w:p w14:paraId="674594FD" w14:textId="2ED3F76C" w:rsidR="00677866" w:rsidRDefault="00677866" w:rsidP="00677866">
      <w:r w:rsidRPr="00251B3D">
        <w:t>This recommendation will need to be considered in the development of a National Roadmap for Imp</w:t>
      </w:r>
      <w:r w:rsidR="00A9675A">
        <w:t xml:space="preserve">roving Health </w:t>
      </w:r>
      <w:r w:rsidRPr="00251B3D">
        <w:t>Services for Autistic People. If a National Autism Mental Health Plan is developed, it would need to align with</w:t>
      </w:r>
      <w:r w:rsidRPr="003F7D3D">
        <w:t xml:space="preserve"> the National Mental Health and Suicide Prevention Agreement (National Agreement) relea</w:t>
      </w:r>
      <w:r w:rsidR="00251B3D">
        <w:t>sed in March 2022. The National </w:t>
      </w:r>
      <w:r w:rsidRPr="003F7D3D">
        <w:t>Agreement sets out the shared intention of the Commonwealth, state and territory governments to work in partnership to improve the mental health of all Australians and ensure the sustainability and enhance the services of the Australian mental health and suicide prevention system.</w:t>
      </w:r>
    </w:p>
    <w:p w14:paraId="74E8AF33" w14:textId="4CCB631F" w:rsidR="00CD3421" w:rsidRPr="00F948BF" w:rsidRDefault="0022725F" w:rsidP="00F948BF">
      <w:pPr>
        <w:spacing w:after="160" w:line="259" w:lineRule="auto"/>
        <w:rPr>
          <w:rFonts w:eastAsiaTheme="minorEastAsia"/>
          <w:lang w:val="en-NZ"/>
        </w:rPr>
      </w:pPr>
      <w:r>
        <w:rPr>
          <w:rFonts w:eastAsiaTheme="minorEastAsia"/>
          <w:lang w:val="en-NZ"/>
        </w:rPr>
        <w:br w:type="page"/>
      </w:r>
    </w:p>
    <w:tbl>
      <w:tblPr>
        <w:tblStyle w:val="TableGrid"/>
        <w:tblW w:w="0" w:type="auto"/>
        <w:tblLook w:val="04A0" w:firstRow="1" w:lastRow="0" w:firstColumn="1" w:lastColumn="0" w:noHBand="0" w:noVBand="1"/>
        <w:tblDescription w:val="Decorative"/>
      </w:tblPr>
      <w:tblGrid>
        <w:gridCol w:w="9016"/>
      </w:tblGrid>
      <w:tr w:rsidR="0022725F" w14:paraId="0CC0E4F5" w14:textId="77777777" w:rsidTr="0022725F">
        <w:tc>
          <w:tcPr>
            <w:tcW w:w="9016" w:type="dxa"/>
          </w:tcPr>
          <w:p w14:paraId="5FFE520C" w14:textId="77777777" w:rsidR="00F948BF" w:rsidRPr="00F948BF" w:rsidRDefault="00F948BF" w:rsidP="00F948BF">
            <w:pPr>
              <w:spacing w:line="276" w:lineRule="auto"/>
              <w:jc w:val="both"/>
              <w:rPr>
                <w:b/>
              </w:rPr>
            </w:pPr>
            <w:r w:rsidRPr="00F948BF">
              <w:rPr>
                <w:b/>
              </w:rPr>
              <w:lastRenderedPageBreak/>
              <w:t>Recommendation 63</w:t>
            </w:r>
          </w:p>
          <w:p w14:paraId="133FAC47" w14:textId="3A9E899A" w:rsidR="0022725F" w:rsidRDefault="00F948BF" w:rsidP="00F948BF">
            <w:pPr>
              <w:rPr>
                <w:b/>
              </w:rPr>
            </w:pPr>
            <w:r w:rsidRPr="00C34C80">
              <w:t>The</w:t>
            </w:r>
            <w:r w:rsidRPr="00C23743">
              <w:t xml:space="preserve"> </w:t>
            </w:r>
            <w:r w:rsidRPr="00C34C80">
              <w:t>committee</w:t>
            </w:r>
            <w:r w:rsidRPr="00C23743">
              <w:t xml:space="preserve"> </w:t>
            </w:r>
            <w:r w:rsidRPr="00C34C80">
              <w:t>recommends</w:t>
            </w:r>
            <w:r w:rsidRPr="00C23743">
              <w:t xml:space="preserve"> </w:t>
            </w:r>
            <w:r w:rsidRPr="00C34C80">
              <w:t>the</w:t>
            </w:r>
            <w:r w:rsidRPr="00C23743">
              <w:t xml:space="preserve"> Australian Government</w:t>
            </w:r>
            <w:r w:rsidRPr="00C34C80">
              <w:t xml:space="preserve"> work</w:t>
            </w:r>
            <w:r w:rsidRPr="00C23743">
              <w:t xml:space="preserve"> </w:t>
            </w:r>
            <w:r w:rsidRPr="00C34C80">
              <w:t>with</w:t>
            </w:r>
            <w:r w:rsidRPr="00C23743">
              <w:t xml:space="preserve"> state and territory governments</w:t>
            </w:r>
            <w:r w:rsidRPr="00C34C80">
              <w:t xml:space="preserve"> and </w:t>
            </w:r>
            <w:r w:rsidRPr="00C23743">
              <w:t>relevant stakeholders</w:t>
            </w:r>
            <w:r w:rsidRPr="00C34C80">
              <w:t xml:space="preserve"> to encourage hospitals and public health care settings to adopt </w:t>
            </w:r>
            <w:r w:rsidRPr="00C23743">
              <w:t>measures to improve the experience of autistic people in their care</w:t>
            </w:r>
            <w:r w:rsidRPr="00C34C80">
              <w:t>. This may include measures such as providing guidance about reasonable adjustments or employing autism liaison officers to facilitate health care services for autistic</w:t>
            </w:r>
            <w:r w:rsidRPr="00C23743">
              <w:t xml:space="preserve"> </w:t>
            </w:r>
            <w:r w:rsidRPr="00C34C80">
              <w:t>people.</w:t>
            </w:r>
          </w:p>
        </w:tc>
      </w:tr>
    </w:tbl>
    <w:p w14:paraId="263DF48F" w14:textId="77777777" w:rsidR="0022725F" w:rsidRPr="00B86BB1" w:rsidRDefault="0022725F" w:rsidP="008337E4"/>
    <w:p w14:paraId="31BDC15A" w14:textId="3BC2DD53" w:rsidR="002F7963" w:rsidRPr="00DD01BB" w:rsidRDefault="00DD01BB" w:rsidP="002F7963">
      <w:pPr>
        <w:rPr>
          <w:rFonts w:eastAsiaTheme="minorEastAsia"/>
          <w:b/>
          <w:bCs/>
        </w:rPr>
      </w:pPr>
      <w:r>
        <w:rPr>
          <w:rFonts w:eastAsiaTheme="minorEastAsia"/>
          <w:b/>
          <w:bCs/>
        </w:rPr>
        <w:t>Supported in principle</w:t>
      </w:r>
    </w:p>
    <w:p w14:paraId="4D69808C" w14:textId="1A450E7F" w:rsidR="00624551" w:rsidRDefault="00677866" w:rsidP="00B86BB1">
      <w:pPr>
        <w:spacing w:after="240"/>
      </w:pPr>
      <w:r w:rsidRPr="00624551">
        <w:t xml:space="preserve">A key component of the National Roadmap for Improving the Health of People with Intellectual Disability (the National Roadmap) is working with stakeholders to improve the way hospitals and public health care settings deliver healthcare to people with intellectual disability. This action is included in section C of the National Roadmap – ‘Better support for health care professionals to provide better care for people with intellectual disability’. </w:t>
      </w:r>
    </w:p>
    <w:p w14:paraId="5F28ACD0" w14:textId="77777777" w:rsidR="00B86BB1" w:rsidRDefault="00677866" w:rsidP="00B86BB1">
      <w:pPr>
        <w:spacing w:after="240"/>
      </w:pPr>
      <w:r w:rsidRPr="00624551">
        <w:t>This action has the desired outcome that health care professionals have appropriate knowledge, skills and attitudes to provide quality, appropriate and disability-informed health care for people</w:t>
      </w:r>
      <w:r w:rsidR="00B86BB1">
        <w:t xml:space="preserve"> with intellectual disability. </w:t>
      </w:r>
    </w:p>
    <w:p w14:paraId="3BDF6B60" w14:textId="378E8472" w:rsidR="008659B1" w:rsidRDefault="00677866" w:rsidP="00B86BB1">
      <w:pPr>
        <w:spacing w:after="240"/>
      </w:pPr>
      <w:r w:rsidRPr="00624551">
        <w:t>There is potential to build on or adapt work done t</w:t>
      </w:r>
      <w:r w:rsidR="00624551">
        <w:t>o address the above action in a National </w:t>
      </w:r>
      <w:r w:rsidRPr="003F7D3D">
        <w:t>Roadmap for Improving Health Services for Autist</w:t>
      </w:r>
      <w:r w:rsidR="00624551">
        <w:t>ic People and a National Autism </w:t>
      </w:r>
      <w:r w:rsidRPr="003F7D3D">
        <w:t>Mental Health Plan.</w:t>
      </w:r>
      <w:r w:rsidR="00B86BB1">
        <w:t xml:space="preserve"> </w:t>
      </w:r>
    </w:p>
    <w:tbl>
      <w:tblPr>
        <w:tblStyle w:val="TableGrid"/>
        <w:tblW w:w="0" w:type="auto"/>
        <w:tblLook w:val="04A0" w:firstRow="1" w:lastRow="0" w:firstColumn="1" w:lastColumn="0" w:noHBand="0" w:noVBand="1"/>
        <w:tblDescription w:val="Decorative"/>
      </w:tblPr>
      <w:tblGrid>
        <w:gridCol w:w="9016"/>
      </w:tblGrid>
      <w:tr w:rsidR="008659B1" w14:paraId="421FC275" w14:textId="77777777" w:rsidTr="008659B1">
        <w:tc>
          <w:tcPr>
            <w:tcW w:w="9016" w:type="dxa"/>
          </w:tcPr>
          <w:p w14:paraId="4414EBDA" w14:textId="77777777" w:rsidR="008659B1" w:rsidRPr="008659B1" w:rsidRDefault="008659B1" w:rsidP="008659B1">
            <w:pPr>
              <w:jc w:val="both"/>
              <w:rPr>
                <w:b/>
              </w:rPr>
            </w:pPr>
            <w:r w:rsidRPr="008659B1">
              <w:rPr>
                <w:b/>
              </w:rPr>
              <w:t>Recommendation 64</w:t>
            </w:r>
          </w:p>
          <w:p w14:paraId="71A8DE30" w14:textId="77777777" w:rsidR="008659B1" w:rsidRPr="00C34C80" w:rsidRDefault="008659B1" w:rsidP="008659B1">
            <w:pPr>
              <w:pStyle w:val="ListParagraph"/>
              <w:widowControl w:val="0"/>
              <w:tabs>
                <w:tab w:val="left" w:pos="0"/>
              </w:tabs>
              <w:autoSpaceDE w:val="0"/>
              <w:autoSpaceDN w:val="0"/>
              <w:spacing w:before="60"/>
              <w:ind w:left="0" w:right="717"/>
              <w:rPr>
                <w:rFonts w:ascii="Times New Roman" w:hAnsi="Times New Roman" w:cs="Times New Roman"/>
                <w:sz w:val="24"/>
                <w:szCs w:val="24"/>
              </w:rPr>
            </w:pPr>
            <w:r w:rsidRPr="00C34C80">
              <w:rPr>
                <w:rFonts w:ascii="Times New Roman" w:hAnsi="Times New Roman" w:cs="Times New Roman"/>
                <w:sz w:val="24"/>
                <w:szCs w:val="24"/>
              </w:rPr>
              <w:t>The</w:t>
            </w:r>
            <w:r w:rsidRPr="00C23743">
              <w:rPr>
                <w:rFonts w:ascii="Times New Roman" w:hAnsi="Times New Roman" w:cs="Times New Roman"/>
                <w:sz w:val="24"/>
                <w:szCs w:val="24"/>
              </w:rPr>
              <w:t xml:space="preserve"> </w:t>
            </w:r>
            <w:r w:rsidRPr="00C34C80">
              <w:rPr>
                <w:rFonts w:ascii="Times New Roman" w:hAnsi="Times New Roman" w:cs="Times New Roman"/>
                <w:sz w:val="24"/>
                <w:szCs w:val="24"/>
              </w:rPr>
              <w:t>committee</w:t>
            </w:r>
            <w:r w:rsidRPr="00C23743">
              <w:rPr>
                <w:rFonts w:ascii="Times New Roman" w:hAnsi="Times New Roman" w:cs="Times New Roman"/>
                <w:sz w:val="24"/>
                <w:szCs w:val="24"/>
              </w:rPr>
              <w:t xml:space="preserve"> </w:t>
            </w:r>
            <w:r w:rsidRPr="00C34C80">
              <w:rPr>
                <w:rFonts w:ascii="Times New Roman" w:hAnsi="Times New Roman" w:cs="Times New Roman"/>
                <w:sz w:val="24"/>
                <w:szCs w:val="24"/>
              </w:rPr>
              <w:t>recommends</w:t>
            </w:r>
            <w:r w:rsidRPr="00C23743">
              <w:rPr>
                <w:rFonts w:ascii="Times New Roman" w:hAnsi="Times New Roman" w:cs="Times New Roman"/>
                <w:sz w:val="24"/>
                <w:szCs w:val="24"/>
              </w:rPr>
              <w:t xml:space="preserve"> </w:t>
            </w:r>
            <w:r w:rsidRPr="00C34C80">
              <w:rPr>
                <w:rFonts w:ascii="Times New Roman" w:hAnsi="Times New Roman" w:cs="Times New Roman"/>
                <w:sz w:val="24"/>
                <w:szCs w:val="24"/>
              </w:rPr>
              <w:t>that</w:t>
            </w:r>
            <w:r w:rsidRPr="00C23743">
              <w:rPr>
                <w:rFonts w:ascii="Times New Roman" w:hAnsi="Times New Roman" w:cs="Times New Roman"/>
                <w:sz w:val="24"/>
                <w:szCs w:val="24"/>
              </w:rPr>
              <w:t xml:space="preserve"> </w:t>
            </w:r>
            <w:r w:rsidRPr="00C34C80">
              <w:rPr>
                <w:rFonts w:ascii="Times New Roman" w:hAnsi="Times New Roman" w:cs="Times New Roman"/>
                <w:sz w:val="24"/>
                <w:szCs w:val="24"/>
              </w:rPr>
              <w:t>the</w:t>
            </w:r>
            <w:r w:rsidRPr="00C23743">
              <w:rPr>
                <w:rFonts w:ascii="Times New Roman" w:hAnsi="Times New Roman" w:cs="Times New Roman"/>
                <w:sz w:val="24"/>
                <w:szCs w:val="24"/>
              </w:rPr>
              <w:t xml:space="preserve"> health and wellbeing </w:t>
            </w:r>
            <w:r w:rsidRPr="00C34C80">
              <w:rPr>
                <w:rFonts w:ascii="Times New Roman" w:hAnsi="Times New Roman" w:cs="Times New Roman"/>
                <w:sz w:val="24"/>
                <w:szCs w:val="24"/>
              </w:rPr>
              <w:t>priority</w:t>
            </w:r>
            <w:r w:rsidRPr="00C23743">
              <w:rPr>
                <w:rFonts w:ascii="Times New Roman" w:hAnsi="Times New Roman" w:cs="Times New Roman"/>
                <w:sz w:val="24"/>
                <w:szCs w:val="24"/>
              </w:rPr>
              <w:t xml:space="preserve"> </w:t>
            </w:r>
            <w:r w:rsidRPr="00C34C80">
              <w:rPr>
                <w:rFonts w:ascii="Times New Roman" w:hAnsi="Times New Roman" w:cs="Times New Roman"/>
                <w:sz w:val="24"/>
                <w:szCs w:val="24"/>
              </w:rPr>
              <w:t>under</w:t>
            </w:r>
            <w:r w:rsidRPr="00C23743">
              <w:rPr>
                <w:rFonts w:ascii="Times New Roman" w:hAnsi="Times New Roman" w:cs="Times New Roman"/>
                <w:sz w:val="24"/>
                <w:szCs w:val="24"/>
              </w:rPr>
              <w:t xml:space="preserve"> </w:t>
            </w:r>
            <w:r w:rsidRPr="00C34C80">
              <w:rPr>
                <w:rFonts w:ascii="Times New Roman" w:hAnsi="Times New Roman" w:cs="Times New Roman"/>
                <w:sz w:val="24"/>
                <w:szCs w:val="24"/>
              </w:rPr>
              <w:t xml:space="preserve">the new </w:t>
            </w:r>
            <w:r w:rsidRPr="00C23743">
              <w:rPr>
                <w:rFonts w:ascii="Times New Roman" w:hAnsi="Times New Roman" w:cs="Times New Roman"/>
                <w:sz w:val="24"/>
                <w:szCs w:val="24"/>
              </w:rPr>
              <w:t xml:space="preserve">National Autism Research Framework </w:t>
            </w:r>
            <w:r w:rsidRPr="00C34C80">
              <w:rPr>
                <w:rFonts w:ascii="Times New Roman" w:hAnsi="Times New Roman" w:cs="Times New Roman"/>
                <w:sz w:val="24"/>
                <w:szCs w:val="24"/>
              </w:rPr>
              <w:t>include a focus</w:t>
            </w:r>
            <w:r w:rsidRPr="00C23743">
              <w:rPr>
                <w:rFonts w:ascii="Times New Roman" w:hAnsi="Times New Roman" w:cs="Times New Roman"/>
                <w:sz w:val="24"/>
                <w:szCs w:val="24"/>
              </w:rPr>
              <w:t xml:space="preserve"> </w:t>
            </w:r>
            <w:r w:rsidRPr="00C34C80">
              <w:rPr>
                <w:rFonts w:ascii="Times New Roman" w:hAnsi="Times New Roman" w:cs="Times New Roman"/>
                <w:sz w:val="24"/>
                <w:szCs w:val="24"/>
              </w:rPr>
              <w:t>on:</w:t>
            </w:r>
          </w:p>
          <w:p w14:paraId="7660C907" w14:textId="77777777" w:rsidR="008659B1" w:rsidRPr="00C34C80" w:rsidRDefault="008659B1" w:rsidP="008659B1">
            <w:pPr>
              <w:pStyle w:val="ListParagraph"/>
              <w:widowControl w:val="0"/>
              <w:numPr>
                <w:ilvl w:val="0"/>
                <w:numId w:val="6"/>
              </w:numPr>
              <w:tabs>
                <w:tab w:val="left" w:pos="0"/>
                <w:tab w:val="left" w:pos="1028"/>
              </w:tabs>
              <w:autoSpaceDE w:val="0"/>
              <w:autoSpaceDN w:val="0"/>
              <w:spacing w:before="21"/>
              <w:ind w:right="1444"/>
              <w:rPr>
                <w:rFonts w:ascii="Times New Roman" w:hAnsi="Times New Roman" w:cs="Times New Roman"/>
                <w:sz w:val="24"/>
                <w:szCs w:val="24"/>
              </w:rPr>
            </w:pPr>
            <w:r w:rsidRPr="00C34C80">
              <w:rPr>
                <w:rFonts w:ascii="Times New Roman" w:hAnsi="Times New Roman" w:cs="Times New Roman"/>
                <w:sz w:val="24"/>
                <w:szCs w:val="24"/>
              </w:rPr>
              <w:t>routine analysis and reporting of population health data for autistic people, including health status, health service utilisation, health outcomes and mortality</w:t>
            </w:r>
            <w:r w:rsidRPr="00C23743">
              <w:rPr>
                <w:rFonts w:ascii="Times New Roman" w:hAnsi="Times New Roman" w:cs="Times New Roman"/>
                <w:sz w:val="24"/>
                <w:szCs w:val="24"/>
              </w:rPr>
              <w:t xml:space="preserve"> </w:t>
            </w:r>
            <w:r w:rsidRPr="00C34C80">
              <w:rPr>
                <w:rFonts w:ascii="Times New Roman" w:hAnsi="Times New Roman" w:cs="Times New Roman"/>
                <w:sz w:val="24"/>
                <w:szCs w:val="24"/>
              </w:rPr>
              <w:t>data;</w:t>
            </w:r>
          </w:p>
          <w:p w14:paraId="2D818432" w14:textId="77777777" w:rsidR="008659B1" w:rsidRDefault="008659B1" w:rsidP="008659B1">
            <w:pPr>
              <w:pStyle w:val="ListParagraph"/>
              <w:widowControl w:val="0"/>
              <w:numPr>
                <w:ilvl w:val="0"/>
                <w:numId w:val="6"/>
              </w:numPr>
              <w:tabs>
                <w:tab w:val="left" w:pos="0"/>
                <w:tab w:val="left" w:pos="1028"/>
              </w:tabs>
              <w:autoSpaceDE w:val="0"/>
              <w:autoSpaceDN w:val="0"/>
              <w:spacing w:before="1"/>
              <w:rPr>
                <w:rFonts w:ascii="Times New Roman" w:hAnsi="Times New Roman" w:cs="Times New Roman"/>
                <w:sz w:val="24"/>
                <w:szCs w:val="24"/>
              </w:rPr>
            </w:pPr>
            <w:r w:rsidRPr="00C34C80">
              <w:rPr>
                <w:rFonts w:ascii="Times New Roman" w:hAnsi="Times New Roman" w:cs="Times New Roman"/>
                <w:sz w:val="24"/>
                <w:szCs w:val="24"/>
              </w:rPr>
              <w:t>the risk factors, causes and presentation of comorbidities;</w:t>
            </w:r>
            <w:r w:rsidRPr="00C23743">
              <w:rPr>
                <w:rFonts w:ascii="Times New Roman" w:hAnsi="Times New Roman" w:cs="Times New Roman"/>
                <w:sz w:val="24"/>
                <w:szCs w:val="24"/>
              </w:rPr>
              <w:t xml:space="preserve"> </w:t>
            </w:r>
            <w:r w:rsidRPr="00C34C80">
              <w:rPr>
                <w:rFonts w:ascii="Times New Roman" w:hAnsi="Times New Roman" w:cs="Times New Roman"/>
                <w:sz w:val="24"/>
                <w:szCs w:val="24"/>
              </w:rPr>
              <w:t>and</w:t>
            </w:r>
          </w:p>
          <w:p w14:paraId="36219A0D" w14:textId="0547C5F2" w:rsidR="008659B1" w:rsidRPr="008659B1" w:rsidRDefault="008659B1" w:rsidP="008659B1">
            <w:pPr>
              <w:pStyle w:val="ListParagraph"/>
              <w:widowControl w:val="0"/>
              <w:numPr>
                <w:ilvl w:val="0"/>
                <w:numId w:val="6"/>
              </w:numPr>
              <w:tabs>
                <w:tab w:val="left" w:pos="0"/>
                <w:tab w:val="left" w:pos="1028"/>
              </w:tabs>
              <w:autoSpaceDE w:val="0"/>
              <w:autoSpaceDN w:val="0"/>
              <w:spacing w:before="1"/>
              <w:rPr>
                <w:rFonts w:ascii="Times New Roman" w:hAnsi="Times New Roman" w:cs="Times New Roman"/>
                <w:sz w:val="24"/>
                <w:szCs w:val="24"/>
              </w:rPr>
            </w:pPr>
            <w:r w:rsidRPr="00C34C80">
              <w:rPr>
                <w:rFonts w:ascii="Times New Roman" w:hAnsi="Times New Roman" w:cs="Times New Roman"/>
                <w:sz w:val="24"/>
                <w:szCs w:val="24"/>
              </w:rPr>
              <w:t>evaluation of health and mental health interventions for autistic</w:t>
            </w:r>
            <w:r w:rsidRPr="00C23743">
              <w:rPr>
                <w:rFonts w:ascii="Times New Roman" w:hAnsi="Times New Roman" w:cs="Times New Roman"/>
                <w:sz w:val="24"/>
                <w:szCs w:val="24"/>
              </w:rPr>
              <w:t xml:space="preserve"> </w:t>
            </w:r>
            <w:r w:rsidRPr="00C34C80">
              <w:rPr>
                <w:rFonts w:ascii="Times New Roman" w:hAnsi="Times New Roman" w:cs="Times New Roman"/>
                <w:sz w:val="24"/>
                <w:szCs w:val="24"/>
              </w:rPr>
              <w:t>people.</w:t>
            </w:r>
          </w:p>
        </w:tc>
      </w:tr>
    </w:tbl>
    <w:p w14:paraId="35AE1187" w14:textId="7B727A49" w:rsidR="00FD5E6E" w:rsidRPr="00B86BB1" w:rsidRDefault="00FD5E6E" w:rsidP="008337E4"/>
    <w:p w14:paraId="3643EE87" w14:textId="2FC8EC78" w:rsidR="00552197" w:rsidRPr="00552197" w:rsidRDefault="00552197" w:rsidP="00F03E5C">
      <w:pPr>
        <w:rPr>
          <w:b/>
        </w:rPr>
      </w:pPr>
      <w:r w:rsidRPr="002A7C77">
        <w:rPr>
          <w:b/>
        </w:rPr>
        <w:t>Supported in principle</w:t>
      </w:r>
    </w:p>
    <w:p w14:paraId="1EBCCB88" w14:textId="27B33A87" w:rsidR="00677866" w:rsidRPr="00B86BB1" w:rsidRDefault="00677866" w:rsidP="00B86BB1">
      <w:pPr>
        <w:spacing w:after="240"/>
        <w:rPr>
          <w:sz w:val="22"/>
          <w:szCs w:val="22"/>
        </w:rPr>
      </w:pPr>
      <w:r w:rsidRPr="003F7D3D">
        <w:t>If a National Autism Research Framework is supported by</w:t>
      </w:r>
      <w:r w:rsidR="00967A2E">
        <w:t xml:space="preserve"> the Australian Government, the </w:t>
      </w:r>
      <w:r w:rsidRPr="003F7D3D">
        <w:t xml:space="preserve">Department of Health </w:t>
      </w:r>
      <w:r w:rsidR="0003270B">
        <w:t xml:space="preserve">and Aged Care </w:t>
      </w:r>
      <w:r w:rsidRPr="003F7D3D">
        <w:t xml:space="preserve">will provide input into the health and wellbeing priority under the Framework, including a focus on evaluation of mental health interventions for autistic people. </w:t>
      </w:r>
    </w:p>
    <w:p w14:paraId="4BD8DCCC" w14:textId="23BC6C37" w:rsidR="00677866" w:rsidRDefault="00677866" w:rsidP="00B86BB1">
      <w:pPr>
        <w:spacing w:after="240"/>
        <w:rPr>
          <w:rFonts w:eastAsiaTheme="minorEastAsia"/>
        </w:rPr>
      </w:pPr>
      <w:r w:rsidRPr="003F7D3D">
        <w:t>The Department of Health</w:t>
      </w:r>
      <w:r w:rsidR="00BA2239">
        <w:t xml:space="preserve"> and Aged Care</w:t>
      </w:r>
      <w:r w:rsidRPr="003F7D3D">
        <w:t xml:space="preserve"> has allocated funding </w:t>
      </w:r>
      <w:r w:rsidR="00967A2E">
        <w:t xml:space="preserve">of </w:t>
      </w:r>
      <w:r w:rsidRPr="003F7D3D">
        <w:t xml:space="preserve">$9.3 million over two years to SANE Australia from July 2021 to deliver a pilot of specialised digital services for people with complex mental health needs, including intellectual disability and autism. </w:t>
      </w:r>
      <w:r w:rsidR="00967A2E">
        <w:rPr>
          <w:rFonts w:eastAsiaTheme="minorEastAsia"/>
        </w:rPr>
        <w:t>The </w:t>
      </w:r>
      <w:r w:rsidRPr="003F7D3D">
        <w:rPr>
          <w:rFonts w:eastAsiaTheme="minorEastAsia"/>
        </w:rPr>
        <w:t>pilot is being independently evaluated. The evaluation will include consideration of the pilot’s impact on mental health outcomes for people with intellectual disability and autistic people.</w:t>
      </w:r>
    </w:p>
    <w:p w14:paraId="57623B3C" w14:textId="541918C8" w:rsidR="00FD5E6E" w:rsidRDefault="008659B1" w:rsidP="008659B1">
      <w:pPr>
        <w:spacing w:after="160" w:line="259" w:lineRule="auto"/>
        <w:rPr>
          <w:b/>
        </w:rPr>
      </w:pPr>
      <w:r>
        <w:rPr>
          <w:b/>
        </w:rPr>
        <w:br w:type="page"/>
      </w:r>
    </w:p>
    <w:tbl>
      <w:tblPr>
        <w:tblStyle w:val="TableGrid"/>
        <w:tblW w:w="0" w:type="auto"/>
        <w:tblLook w:val="04A0" w:firstRow="1" w:lastRow="0" w:firstColumn="1" w:lastColumn="0" w:noHBand="0" w:noVBand="1"/>
        <w:tblDescription w:val="Decorative"/>
      </w:tblPr>
      <w:tblGrid>
        <w:gridCol w:w="9016"/>
      </w:tblGrid>
      <w:tr w:rsidR="008659B1" w14:paraId="1C661D7C" w14:textId="77777777" w:rsidTr="008659B1">
        <w:tc>
          <w:tcPr>
            <w:tcW w:w="9016" w:type="dxa"/>
          </w:tcPr>
          <w:p w14:paraId="6CE5E104" w14:textId="77777777" w:rsidR="008659B1" w:rsidRPr="008659B1" w:rsidRDefault="008659B1" w:rsidP="008659B1">
            <w:pPr>
              <w:spacing w:before="1" w:line="276" w:lineRule="auto"/>
              <w:jc w:val="both"/>
              <w:rPr>
                <w:b/>
              </w:rPr>
            </w:pPr>
            <w:r w:rsidRPr="008659B1">
              <w:rPr>
                <w:b/>
              </w:rPr>
              <w:lastRenderedPageBreak/>
              <w:t>Recommendation 65</w:t>
            </w:r>
          </w:p>
          <w:p w14:paraId="1EBEE50E" w14:textId="49F64246" w:rsidR="008659B1" w:rsidRDefault="008659B1" w:rsidP="008659B1">
            <w:pPr>
              <w:rPr>
                <w:b/>
              </w:rPr>
            </w:pPr>
            <w:r w:rsidRPr="00C34C80">
              <w:t>The</w:t>
            </w:r>
            <w:r w:rsidRPr="00C23743">
              <w:t xml:space="preserve"> </w:t>
            </w:r>
            <w:r w:rsidRPr="00C34C80">
              <w:t>committee</w:t>
            </w:r>
            <w:r w:rsidRPr="00C23743">
              <w:t xml:space="preserve"> </w:t>
            </w:r>
            <w:r w:rsidRPr="00C34C80">
              <w:t>recommends</w:t>
            </w:r>
            <w:r w:rsidRPr="00C23743">
              <w:t xml:space="preserve"> </w:t>
            </w:r>
            <w:r w:rsidRPr="00C34C80">
              <w:t xml:space="preserve">that the </w:t>
            </w:r>
            <w:r w:rsidRPr="00C23743">
              <w:t>Australian Government</w:t>
            </w:r>
            <w:r w:rsidRPr="00C34C80">
              <w:t xml:space="preserve"> work with </w:t>
            </w:r>
            <w:r w:rsidRPr="00C23743">
              <w:t>state and territory governments</w:t>
            </w:r>
            <w:r w:rsidRPr="00C34C80">
              <w:t xml:space="preserve"> and </w:t>
            </w:r>
            <w:r w:rsidRPr="00C23743">
              <w:t>relevant stakeholders</w:t>
            </w:r>
            <w:r w:rsidRPr="00C34C80">
              <w:t xml:space="preserve"> to develop and widely </w:t>
            </w:r>
            <w:r w:rsidRPr="00C23743">
              <w:t>promote clinical care pathways</w:t>
            </w:r>
            <w:r w:rsidRPr="00C34C80">
              <w:t xml:space="preserve"> to help autistic people navigate the health care system, including mental health services.</w:t>
            </w:r>
          </w:p>
        </w:tc>
      </w:tr>
    </w:tbl>
    <w:p w14:paraId="56234607" w14:textId="77777777" w:rsidR="008659B1" w:rsidRPr="00B86BB1" w:rsidRDefault="008659B1" w:rsidP="008337E4"/>
    <w:p w14:paraId="15137051" w14:textId="6BA0D688" w:rsidR="00776E84" w:rsidRDefault="00E72026" w:rsidP="00C23743">
      <w:pPr>
        <w:rPr>
          <w:rFonts w:eastAsiaTheme="minorEastAsia"/>
          <w:b/>
          <w:bCs/>
        </w:rPr>
      </w:pPr>
      <w:r>
        <w:rPr>
          <w:rFonts w:eastAsiaTheme="minorEastAsia"/>
          <w:b/>
          <w:bCs/>
        </w:rPr>
        <w:t>Supported in p</w:t>
      </w:r>
      <w:r w:rsidR="00776E84">
        <w:rPr>
          <w:rFonts w:eastAsiaTheme="minorEastAsia"/>
          <w:b/>
          <w:bCs/>
        </w:rPr>
        <w:t>rinciple</w:t>
      </w:r>
    </w:p>
    <w:p w14:paraId="64F2AF4E" w14:textId="6BFCCA24" w:rsidR="00677866" w:rsidRPr="003F7D3D" w:rsidRDefault="00677866" w:rsidP="002764A5">
      <w:pPr>
        <w:spacing w:after="240"/>
        <w:rPr>
          <w:rFonts w:eastAsiaTheme="minorEastAsia"/>
          <w:lang w:val="en-NZ"/>
        </w:rPr>
      </w:pPr>
      <w:r w:rsidRPr="00A9675A">
        <w:rPr>
          <w:rFonts w:eastAsiaTheme="minorEastAsia"/>
          <w:lang w:val="en-NZ"/>
        </w:rPr>
        <w:t>This recommendation will need to be con</w:t>
      </w:r>
      <w:r w:rsidR="00404551" w:rsidRPr="00A9675A">
        <w:rPr>
          <w:rFonts w:eastAsiaTheme="minorEastAsia"/>
          <w:lang w:val="en-NZ"/>
        </w:rPr>
        <w:t>sidered in the development of a </w:t>
      </w:r>
      <w:r w:rsidRPr="00A9675A">
        <w:rPr>
          <w:rFonts w:eastAsiaTheme="minorEastAsia"/>
          <w:lang w:val="en-NZ"/>
        </w:rPr>
        <w:t>Nation</w:t>
      </w:r>
      <w:r w:rsidR="00404551" w:rsidRPr="00A9675A">
        <w:rPr>
          <w:rFonts w:eastAsiaTheme="minorEastAsia"/>
          <w:lang w:val="en-NZ"/>
        </w:rPr>
        <w:t>al Roadmap </w:t>
      </w:r>
      <w:r w:rsidR="00A9675A" w:rsidRPr="00A9675A">
        <w:rPr>
          <w:rFonts w:eastAsiaTheme="minorEastAsia"/>
          <w:lang w:val="en-NZ"/>
        </w:rPr>
        <w:t xml:space="preserve">for Improving </w:t>
      </w:r>
      <w:r w:rsidRPr="00A9675A">
        <w:rPr>
          <w:rFonts w:eastAsiaTheme="minorEastAsia"/>
          <w:lang w:val="en-NZ"/>
        </w:rPr>
        <w:t>Health Services for Autistic People.</w:t>
      </w:r>
    </w:p>
    <w:p w14:paraId="1B933B55" w14:textId="63E0C72F" w:rsidR="00677866" w:rsidRPr="003F7D3D" w:rsidRDefault="00677866" w:rsidP="002764A5">
      <w:pPr>
        <w:spacing w:after="240"/>
        <w:rPr>
          <w:rFonts w:eastAsiaTheme="minorEastAsia"/>
          <w:lang w:val="en-NZ"/>
        </w:rPr>
      </w:pPr>
      <w:r w:rsidRPr="003F7D3D">
        <w:rPr>
          <w:rFonts w:eastAsiaTheme="minorEastAsia"/>
          <w:lang w:val="en-NZ"/>
        </w:rPr>
        <w:t>A key component of the National Roadmap for Improving the Health of People with Intellectual Disability (the National Roadmap) is working with stakeholders to develop and widely promote clinical care pathways to help people with intellectual disability navigate the health care system. This action is included in section A of t</w:t>
      </w:r>
      <w:r w:rsidR="00404551">
        <w:rPr>
          <w:rFonts w:eastAsiaTheme="minorEastAsia"/>
          <w:lang w:val="en-NZ"/>
        </w:rPr>
        <w:t>he National Roadmap - ‘Improved </w:t>
      </w:r>
      <w:r w:rsidRPr="003F7D3D">
        <w:rPr>
          <w:rFonts w:eastAsiaTheme="minorEastAsia"/>
          <w:lang w:val="en-NZ"/>
        </w:rPr>
        <w:t>support for people with intellectual disability and their families and c</w:t>
      </w:r>
      <w:r w:rsidR="00404551">
        <w:rPr>
          <w:rFonts w:eastAsiaTheme="minorEastAsia"/>
          <w:lang w:val="en-NZ"/>
        </w:rPr>
        <w:t>arers’. This </w:t>
      </w:r>
      <w:r w:rsidRPr="003F7D3D">
        <w:rPr>
          <w:rFonts w:eastAsiaTheme="minorEastAsia"/>
          <w:lang w:val="en-NZ"/>
        </w:rPr>
        <w:t>action has the desired outcome that people with intellectual disability are better supported to navigate the health system and acces</w:t>
      </w:r>
      <w:r w:rsidR="002764A5">
        <w:rPr>
          <w:rFonts w:eastAsiaTheme="minorEastAsia"/>
          <w:lang w:val="en-NZ"/>
        </w:rPr>
        <w:t xml:space="preserve">s appropriate health services. </w:t>
      </w:r>
    </w:p>
    <w:p w14:paraId="26040B6B" w14:textId="7173DE15" w:rsidR="008659B1" w:rsidRDefault="00677866" w:rsidP="002764A5">
      <w:pPr>
        <w:spacing w:after="240"/>
      </w:pPr>
      <w:r w:rsidRPr="003F7D3D">
        <w:rPr>
          <w:rFonts w:eastAsiaTheme="minorEastAsia"/>
          <w:lang w:val="en-NZ"/>
        </w:rPr>
        <w:t xml:space="preserve">There is potential to build on or adapt work done to address this recommendation in the development of a National Roadmap </w:t>
      </w:r>
      <w:r w:rsidRPr="003F7D3D">
        <w:t>for Improving Health Services for Autistic People.</w:t>
      </w:r>
    </w:p>
    <w:tbl>
      <w:tblPr>
        <w:tblStyle w:val="TableGrid"/>
        <w:tblW w:w="0" w:type="auto"/>
        <w:tblLook w:val="04A0" w:firstRow="1" w:lastRow="0" w:firstColumn="1" w:lastColumn="0" w:noHBand="0" w:noVBand="1"/>
        <w:tblDescription w:val="Decorative"/>
      </w:tblPr>
      <w:tblGrid>
        <w:gridCol w:w="9016"/>
      </w:tblGrid>
      <w:tr w:rsidR="008659B1" w14:paraId="24CA53AD" w14:textId="77777777" w:rsidTr="008659B1">
        <w:tc>
          <w:tcPr>
            <w:tcW w:w="9016" w:type="dxa"/>
          </w:tcPr>
          <w:p w14:paraId="0AF5FBAE" w14:textId="77777777" w:rsidR="008659B1" w:rsidRPr="008659B1" w:rsidRDefault="008659B1" w:rsidP="008659B1">
            <w:pPr>
              <w:spacing w:before="1" w:line="276" w:lineRule="auto"/>
              <w:ind w:left="29"/>
              <w:jc w:val="both"/>
              <w:rPr>
                <w:b/>
              </w:rPr>
            </w:pPr>
            <w:r w:rsidRPr="008659B1">
              <w:rPr>
                <w:b/>
              </w:rPr>
              <w:t>Recommendation 66</w:t>
            </w:r>
          </w:p>
          <w:p w14:paraId="5092A4D5" w14:textId="19C4F132" w:rsidR="008659B1" w:rsidRDefault="008659B1" w:rsidP="008659B1">
            <w:r w:rsidRPr="00C34C80">
              <w:t>The</w:t>
            </w:r>
            <w:r w:rsidRPr="00C23743">
              <w:t xml:space="preserve"> </w:t>
            </w:r>
            <w:r w:rsidRPr="00C34C80">
              <w:t>committee</w:t>
            </w:r>
            <w:r w:rsidRPr="00C23743">
              <w:t xml:space="preserve"> </w:t>
            </w:r>
            <w:r w:rsidRPr="00C34C80">
              <w:t>recommends</w:t>
            </w:r>
            <w:r w:rsidRPr="00C23743">
              <w:t xml:space="preserve"> </w:t>
            </w:r>
            <w:r w:rsidRPr="00C34C80">
              <w:t>that</w:t>
            </w:r>
            <w:r w:rsidRPr="00C23743">
              <w:t xml:space="preserve"> </w:t>
            </w:r>
            <w:r w:rsidRPr="00C34C80">
              <w:t xml:space="preserve">the </w:t>
            </w:r>
            <w:r w:rsidRPr="00C23743">
              <w:t xml:space="preserve">Australian Government </w:t>
            </w:r>
            <w:r w:rsidRPr="00C34C80">
              <w:t>work</w:t>
            </w:r>
            <w:r w:rsidRPr="00C23743">
              <w:t xml:space="preserve"> </w:t>
            </w:r>
            <w:r w:rsidRPr="00C34C80">
              <w:t>with</w:t>
            </w:r>
            <w:r w:rsidRPr="00C23743">
              <w:t xml:space="preserve"> state and territory governments</w:t>
            </w:r>
            <w:r w:rsidRPr="00C34C80">
              <w:t xml:space="preserve"> and </w:t>
            </w:r>
            <w:r w:rsidRPr="00C23743">
              <w:t>relevant stakeholders</w:t>
            </w:r>
            <w:r w:rsidRPr="00C34C80">
              <w:t xml:space="preserve"> to implement </w:t>
            </w:r>
            <w:r w:rsidRPr="00C23743">
              <w:t>specialised care models targeted</w:t>
            </w:r>
            <w:r w:rsidRPr="00C34C80">
              <w:t xml:space="preserve"> to meet the needs of autistic people, including</w:t>
            </w:r>
            <w:r w:rsidRPr="00C23743">
              <w:t xml:space="preserve"> </w:t>
            </w:r>
            <w:r w:rsidRPr="00C34C80">
              <w:t>mental</w:t>
            </w:r>
            <w:r w:rsidRPr="00C23743">
              <w:t xml:space="preserve"> </w:t>
            </w:r>
            <w:r w:rsidRPr="00C34C80">
              <w:t>health</w:t>
            </w:r>
            <w:r w:rsidRPr="00C23743">
              <w:t xml:space="preserve"> </w:t>
            </w:r>
            <w:r w:rsidRPr="00C34C80">
              <w:t>care</w:t>
            </w:r>
            <w:r w:rsidRPr="00C23743">
              <w:t xml:space="preserve"> </w:t>
            </w:r>
            <w:r w:rsidRPr="00C34C80">
              <w:t>needs.</w:t>
            </w:r>
            <w:r w:rsidRPr="00C23743">
              <w:t xml:space="preserve"> </w:t>
            </w:r>
            <w:r w:rsidRPr="00C34C80">
              <w:t>These</w:t>
            </w:r>
            <w:r w:rsidRPr="00C23743">
              <w:t xml:space="preserve"> </w:t>
            </w:r>
            <w:r w:rsidRPr="00C34C80">
              <w:t>models</w:t>
            </w:r>
            <w:r w:rsidRPr="00C23743">
              <w:t xml:space="preserve"> </w:t>
            </w:r>
            <w:r w:rsidRPr="00C34C80">
              <w:t>should</w:t>
            </w:r>
            <w:r w:rsidRPr="00C23743">
              <w:t xml:space="preserve"> </w:t>
            </w:r>
            <w:r w:rsidRPr="00C34C80">
              <w:t>offer</w:t>
            </w:r>
            <w:r w:rsidRPr="00C23743">
              <w:t xml:space="preserve"> </w:t>
            </w:r>
            <w:r w:rsidRPr="00C34C80">
              <w:t>tiered</w:t>
            </w:r>
            <w:r w:rsidRPr="00C23743">
              <w:t xml:space="preserve"> </w:t>
            </w:r>
            <w:r w:rsidRPr="00C34C80">
              <w:t>services and supports that are available to autistic people and their families throughout</w:t>
            </w:r>
            <w:r w:rsidRPr="00C23743">
              <w:t xml:space="preserve"> </w:t>
            </w:r>
            <w:r w:rsidRPr="00C34C80">
              <w:t>their</w:t>
            </w:r>
            <w:r w:rsidRPr="00C23743">
              <w:t xml:space="preserve"> </w:t>
            </w:r>
            <w:r w:rsidRPr="00C34C80">
              <w:t>health</w:t>
            </w:r>
            <w:r w:rsidRPr="00C23743">
              <w:t xml:space="preserve"> </w:t>
            </w:r>
            <w:r w:rsidRPr="00C34C80">
              <w:t>care</w:t>
            </w:r>
            <w:r w:rsidRPr="00C23743">
              <w:t xml:space="preserve"> </w:t>
            </w:r>
            <w:r w:rsidRPr="00C34C80">
              <w:t>journey,</w:t>
            </w:r>
            <w:r w:rsidRPr="00C23743">
              <w:t xml:space="preserve"> </w:t>
            </w:r>
            <w:r w:rsidRPr="00C34C80">
              <w:t>with</w:t>
            </w:r>
            <w:r w:rsidRPr="00C23743">
              <w:t xml:space="preserve"> </w:t>
            </w:r>
            <w:r w:rsidRPr="00C34C80">
              <w:t>a</w:t>
            </w:r>
            <w:r w:rsidRPr="00C23743">
              <w:t xml:space="preserve"> </w:t>
            </w:r>
            <w:r w:rsidRPr="00C34C80">
              <w:t>particular</w:t>
            </w:r>
            <w:r w:rsidRPr="00C23743">
              <w:t xml:space="preserve"> </w:t>
            </w:r>
            <w:r w:rsidRPr="00C34C80">
              <w:t>focus</w:t>
            </w:r>
            <w:r w:rsidRPr="00C23743">
              <w:t xml:space="preserve"> </w:t>
            </w:r>
            <w:r w:rsidRPr="00C34C80">
              <w:t>on</w:t>
            </w:r>
            <w:r w:rsidRPr="00C23743">
              <w:t xml:space="preserve"> </w:t>
            </w:r>
            <w:r w:rsidRPr="00C34C80">
              <w:t>mental</w:t>
            </w:r>
            <w:r w:rsidRPr="00C23743">
              <w:t xml:space="preserve"> </w:t>
            </w:r>
            <w:r w:rsidRPr="00C34C80">
              <w:t>health services</w:t>
            </w:r>
            <w:r w:rsidRPr="00C23743">
              <w:t xml:space="preserve"> </w:t>
            </w:r>
            <w:r w:rsidRPr="00C34C80">
              <w:t>and</w:t>
            </w:r>
            <w:r w:rsidRPr="00C23743">
              <w:t xml:space="preserve"> </w:t>
            </w:r>
            <w:r w:rsidRPr="00C34C80">
              <w:t>on</w:t>
            </w:r>
            <w:r w:rsidRPr="00C23743">
              <w:t xml:space="preserve"> </w:t>
            </w:r>
            <w:r w:rsidRPr="00C34C80">
              <w:t>preventing</w:t>
            </w:r>
            <w:r w:rsidRPr="00C23743">
              <w:t xml:space="preserve"> </w:t>
            </w:r>
            <w:r w:rsidRPr="00C34C80">
              <w:t>individuals</w:t>
            </w:r>
            <w:r w:rsidRPr="00C23743">
              <w:t xml:space="preserve"> </w:t>
            </w:r>
            <w:r w:rsidRPr="00C34C80">
              <w:t>and</w:t>
            </w:r>
            <w:r w:rsidRPr="00C23743">
              <w:t xml:space="preserve"> </w:t>
            </w:r>
            <w:r w:rsidRPr="00C34C80">
              <w:t>families</w:t>
            </w:r>
            <w:r w:rsidRPr="00C23743">
              <w:t xml:space="preserve"> </w:t>
            </w:r>
            <w:r w:rsidRPr="00C34C80">
              <w:t>from</w:t>
            </w:r>
            <w:r w:rsidRPr="00C23743">
              <w:t xml:space="preserve"> </w:t>
            </w:r>
            <w:r w:rsidRPr="00C34C80">
              <w:t>falling</w:t>
            </w:r>
            <w:r w:rsidRPr="00C23743">
              <w:t xml:space="preserve"> </w:t>
            </w:r>
            <w:r w:rsidRPr="00C34C80">
              <w:t>through</w:t>
            </w:r>
            <w:r w:rsidRPr="00C23743">
              <w:t xml:space="preserve"> </w:t>
            </w:r>
            <w:r w:rsidRPr="00C34C80">
              <w:t>the cracks between systems or reaching a crisis</w:t>
            </w:r>
            <w:r w:rsidRPr="00C23743">
              <w:t xml:space="preserve"> </w:t>
            </w:r>
            <w:r w:rsidRPr="00C34C80">
              <w:t>point.</w:t>
            </w:r>
          </w:p>
        </w:tc>
      </w:tr>
    </w:tbl>
    <w:p w14:paraId="6489BDDE" w14:textId="1D88334E" w:rsidR="00967BF5" w:rsidRPr="00EA7A75" w:rsidRDefault="00967BF5" w:rsidP="008337E4"/>
    <w:p w14:paraId="4C4B4BF3" w14:textId="713B15B0" w:rsidR="009F5B9D" w:rsidRPr="009F5B9D" w:rsidRDefault="009F5B9D" w:rsidP="008337E4">
      <w:pPr>
        <w:rPr>
          <w:b/>
        </w:rPr>
      </w:pPr>
      <w:r>
        <w:rPr>
          <w:b/>
        </w:rPr>
        <w:t>Supported in principle</w:t>
      </w:r>
    </w:p>
    <w:p w14:paraId="269440BC" w14:textId="45ECA66F" w:rsidR="00677866" w:rsidRPr="003F7D3D" w:rsidRDefault="00677866" w:rsidP="00EA7A75">
      <w:pPr>
        <w:spacing w:after="240"/>
        <w:rPr>
          <w:rFonts w:eastAsiaTheme="minorEastAsia"/>
          <w:lang w:val="en-NZ"/>
        </w:rPr>
      </w:pPr>
      <w:r w:rsidRPr="003F7D3D">
        <w:rPr>
          <w:rFonts w:eastAsiaTheme="minorEastAsia"/>
          <w:lang w:val="en-NZ"/>
        </w:rPr>
        <w:t xml:space="preserve">This recommendation will need to be considered in the development </w:t>
      </w:r>
      <w:r w:rsidR="00724B81">
        <w:rPr>
          <w:rFonts w:eastAsiaTheme="minorEastAsia"/>
          <w:lang w:val="en-NZ"/>
        </w:rPr>
        <w:t xml:space="preserve">of a National Roadmap for Improving </w:t>
      </w:r>
      <w:r w:rsidRPr="003F7D3D">
        <w:rPr>
          <w:rFonts w:eastAsiaTheme="minorEastAsia"/>
          <w:lang w:val="en-NZ"/>
        </w:rPr>
        <w:t>Health Services for Autistic People.</w:t>
      </w:r>
    </w:p>
    <w:p w14:paraId="098FABEA" w14:textId="6C6DA81C" w:rsidR="00677866" w:rsidRPr="00724B81" w:rsidRDefault="00677866" w:rsidP="00EA7A75">
      <w:pPr>
        <w:spacing w:after="240"/>
        <w:rPr>
          <w:rFonts w:eastAsiaTheme="minorEastAsia"/>
          <w:lang w:val="en-NZ"/>
        </w:rPr>
      </w:pPr>
      <w:r w:rsidRPr="003F7D3D">
        <w:rPr>
          <w:rFonts w:eastAsiaTheme="minorEastAsia"/>
          <w:lang w:val="en-NZ"/>
        </w:rPr>
        <w:t xml:space="preserve">A key component of the National Roadmap for Improving the Health of People with Intellectual Disability (the National Roadmap) is working with stakeholders to implement specialised care models targeted to meet the needs of people with intellectual disability. This action is included in section B1 of the National Roadmap - ‘Developing better models of health care’. This action has the desired outcome that better models of care are developed that </w:t>
      </w:r>
      <w:r w:rsidRPr="00724B81">
        <w:rPr>
          <w:rFonts w:eastAsiaTheme="minorEastAsia"/>
          <w:lang w:val="en-NZ"/>
        </w:rPr>
        <w:t>provide people with intellectual disability with quality health care that is person-centred, trauma-informed, and e</w:t>
      </w:r>
      <w:r w:rsidR="00EA7A75">
        <w:rPr>
          <w:rFonts w:eastAsiaTheme="minorEastAsia"/>
          <w:lang w:val="en-NZ"/>
        </w:rPr>
        <w:t xml:space="preserve">nables reasonable adjustments. </w:t>
      </w:r>
    </w:p>
    <w:p w14:paraId="3978AAE9" w14:textId="0F62BB46" w:rsidR="00677866" w:rsidRPr="00EA7A75" w:rsidRDefault="00677866" w:rsidP="00EA7A75">
      <w:pPr>
        <w:spacing w:after="240"/>
      </w:pPr>
      <w:r w:rsidRPr="00724B81">
        <w:rPr>
          <w:rFonts w:eastAsiaTheme="minorEastAsia"/>
          <w:lang w:val="en-NZ"/>
        </w:rPr>
        <w:t xml:space="preserve">There is potential to build on or adapt work done to address this recommendation in the development of a National Roadmap </w:t>
      </w:r>
      <w:r w:rsidRPr="00724B81">
        <w:t>for Improving Health Services for Autistic People.</w:t>
      </w:r>
    </w:p>
    <w:p w14:paraId="1D809858" w14:textId="70B42611" w:rsidR="00EA7A75" w:rsidRDefault="00677866" w:rsidP="00EA7A75">
      <w:pPr>
        <w:spacing w:after="240"/>
      </w:pPr>
      <w:r w:rsidRPr="003F7D3D">
        <w:t>Through the National Mental Health and Suicide</w:t>
      </w:r>
      <w:r w:rsidR="00724B81">
        <w:t xml:space="preserve"> Prevention Agreement (National </w:t>
      </w:r>
      <w:r w:rsidRPr="003F7D3D">
        <w:t>Agreement), all governments have committed to work together to consider and support the mental health and wellbeing of a number of priori</w:t>
      </w:r>
      <w:r w:rsidR="00D51792">
        <w:t>ty population groups, including people with</w:t>
      </w:r>
      <w:r w:rsidRPr="003F7D3D">
        <w:t xml:space="preserve"> disability. There is an opportunity f</w:t>
      </w:r>
      <w:r w:rsidR="00D51792">
        <w:t>or the Australian Government to </w:t>
      </w:r>
      <w:r w:rsidRPr="003F7D3D">
        <w:t>work with state and territory governments under the National Agreement to ensure mental health and suicide prevention services mee</w:t>
      </w:r>
      <w:r w:rsidR="00EA7A75">
        <w:t>t the needs of autistic people.</w:t>
      </w:r>
    </w:p>
    <w:p w14:paraId="669802E6" w14:textId="3EC59FE1" w:rsidR="00677866" w:rsidRPr="003F7D3D" w:rsidRDefault="00EA7A75" w:rsidP="00EA7A75">
      <w:pPr>
        <w:spacing w:after="160" w:line="259" w:lineRule="auto"/>
      </w:pPr>
      <w:r>
        <w:br w:type="page"/>
      </w:r>
    </w:p>
    <w:p w14:paraId="69611B4B" w14:textId="1B9087A6" w:rsidR="00677866" w:rsidRPr="003F7D3D" w:rsidRDefault="00677866" w:rsidP="00677866">
      <w:pPr>
        <w:pStyle w:val="null"/>
        <w:spacing w:before="0" w:beforeAutospacing="0" w:after="0" w:afterAutospacing="0"/>
        <w:rPr>
          <w:rFonts w:ascii="Times New Roman" w:hAnsi="Times New Roman" w:cs="Times New Roman"/>
          <w:sz w:val="24"/>
          <w:szCs w:val="24"/>
          <w:lang w:eastAsia="en-US"/>
        </w:rPr>
      </w:pPr>
      <w:r w:rsidRPr="003F7D3D">
        <w:rPr>
          <w:rFonts w:ascii="Times New Roman" w:hAnsi="Times New Roman" w:cs="Times New Roman"/>
          <w:sz w:val="24"/>
          <w:szCs w:val="24"/>
          <w:lang w:eastAsia="en-US"/>
        </w:rPr>
        <w:lastRenderedPageBreak/>
        <w:t xml:space="preserve">The 2021-22 Budget included $9.3 million over two years </w:t>
      </w:r>
      <w:r w:rsidR="00D51792">
        <w:rPr>
          <w:rFonts w:ascii="Times New Roman" w:hAnsi="Times New Roman" w:cs="Times New Roman"/>
          <w:sz w:val="24"/>
          <w:szCs w:val="24"/>
          <w:lang w:eastAsia="en-US"/>
        </w:rPr>
        <w:t>for SANE Australia to deliver a </w:t>
      </w:r>
      <w:r w:rsidRPr="003F7D3D">
        <w:rPr>
          <w:rFonts w:ascii="Times New Roman" w:hAnsi="Times New Roman" w:cs="Times New Roman"/>
          <w:sz w:val="24"/>
          <w:szCs w:val="24"/>
          <w:lang w:eastAsia="en-US"/>
        </w:rPr>
        <w:t xml:space="preserve">pilot of specialised digital mental health services. The </w:t>
      </w:r>
      <w:r w:rsidR="00D51792">
        <w:rPr>
          <w:rFonts w:ascii="Times New Roman" w:hAnsi="Times New Roman" w:cs="Times New Roman"/>
          <w:sz w:val="24"/>
          <w:szCs w:val="24"/>
          <w:lang w:eastAsia="en-US"/>
        </w:rPr>
        <w:t>pilot aims to improve access to </w:t>
      </w:r>
      <w:r w:rsidRPr="003F7D3D">
        <w:rPr>
          <w:rFonts w:ascii="Times New Roman" w:hAnsi="Times New Roman" w:cs="Times New Roman"/>
          <w:sz w:val="24"/>
          <w:szCs w:val="24"/>
          <w:lang w:eastAsia="en-US"/>
        </w:rPr>
        <w:t xml:space="preserve">mental health services to meet the needs of people for </w:t>
      </w:r>
      <w:r w:rsidR="00D51792">
        <w:rPr>
          <w:rFonts w:ascii="Times New Roman" w:hAnsi="Times New Roman" w:cs="Times New Roman"/>
          <w:sz w:val="24"/>
          <w:szCs w:val="24"/>
          <w:lang w:eastAsia="en-US"/>
        </w:rPr>
        <w:t>whom mainstream services may be </w:t>
      </w:r>
      <w:r w:rsidRPr="003F7D3D">
        <w:rPr>
          <w:rFonts w:ascii="Times New Roman" w:hAnsi="Times New Roman" w:cs="Times New Roman"/>
          <w:sz w:val="24"/>
          <w:szCs w:val="24"/>
          <w:lang w:eastAsia="en-US"/>
        </w:rPr>
        <w:t>challenging, including those with co-occurring conditions such as intellectual disability and autism.</w:t>
      </w:r>
    </w:p>
    <w:p w14:paraId="4D60F658" w14:textId="77777777" w:rsidR="00677866" w:rsidRPr="003F7D3D" w:rsidRDefault="00677866" w:rsidP="00677866">
      <w:pPr>
        <w:pStyle w:val="null"/>
        <w:spacing w:before="0" w:beforeAutospacing="0" w:after="0" w:afterAutospacing="0"/>
        <w:rPr>
          <w:rFonts w:ascii="Times New Roman" w:eastAsia="Times New Roman" w:hAnsi="Times New Roman" w:cs="Times New Roman"/>
          <w:sz w:val="24"/>
          <w:szCs w:val="24"/>
          <w:lang w:eastAsia="en-US"/>
        </w:rPr>
      </w:pPr>
    </w:p>
    <w:p w14:paraId="6320F940" w14:textId="5A29B9E1" w:rsidR="00967BF5" w:rsidRDefault="00677866" w:rsidP="008659B1">
      <w:pPr>
        <w:rPr>
          <w:rFonts w:eastAsiaTheme="minorEastAsia"/>
        </w:rPr>
      </w:pPr>
      <w:r w:rsidRPr="003F7D3D">
        <w:rPr>
          <w:rFonts w:eastAsiaTheme="minorEastAsia"/>
        </w:rPr>
        <w:t xml:space="preserve">The pilot has been co-designed with mental health, disability and autism experts including the Council for Intellectual Disability and autism peak </w:t>
      </w:r>
      <w:r w:rsidRPr="00A9675A">
        <w:rPr>
          <w:rFonts w:eastAsiaTheme="minorEastAsia"/>
        </w:rPr>
        <w:t>body Amaze</w:t>
      </w:r>
      <w:r w:rsidR="00A9675A" w:rsidRPr="00A9675A">
        <w:rPr>
          <w:rFonts w:eastAsiaTheme="minorEastAsia"/>
        </w:rPr>
        <w:t xml:space="preserve"> Incorporated</w:t>
      </w:r>
      <w:r w:rsidR="00A9675A">
        <w:rPr>
          <w:rFonts w:eastAsiaTheme="minorEastAsia"/>
        </w:rPr>
        <w:t>. People with </w:t>
      </w:r>
      <w:r w:rsidRPr="003F7D3D">
        <w:rPr>
          <w:rFonts w:eastAsiaTheme="minorEastAsia"/>
        </w:rPr>
        <w:t>lived experience of mental health, disability and autism were also closely involved in developing the pilot service delivery model. The pilot commenced in</w:t>
      </w:r>
      <w:r w:rsidR="00A9675A">
        <w:rPr>
          <w:rFonts w:eastAsiaTheme="minorEastAsia"/>
        </w:rPr>
        <w:t xml:space="preserve"> November 2021 and will be </w:t>
      </w:r>
      <w:r w:rsidRPr="003F7D3D">
        <w:rPr>
          <w:rFonts w:eastAsiaTheme="minorEastAsia"/>
        </w:rPr>
        <w:t>independently evaluated, including with regard to its impact on mental health outcomes for people with a disability.</w:t>
      </w:r>
    </w:p>
    <w:p w14:paraId="0DCCCEE3" w14:textId="3870524C" w:rsidR="008659B1" w:rsidRDefault="008659B1" w:rsidP="008659B1">
      <w:pPr>
        <w:rPr>
          <w:rFonts w:eastAsiaTheme="minorEastAsia"/>
        </w:rPr>
      </w:pPr>
    </w:p>
    <w:tbl>
      <w:tblPr>
        <w:tblStyle w:val="TableGrid"/>
        <w:tblW w:w="0" w:type="auto"/>
        <w:tblLook w:val="04A0" w:firstRow="1" w:lastRow="0" w:firstColumn="1" w:lastColumn="0" w:noHBand="0" w:noVBand="1"/>
        <w:tblDescription w:val="Decorative"/>
      </w:tblPr>
      <w:tblGrid>
        <w:gridCol w:w="9016"/>
      </w:tblGrid>
      <w:tr w:rsidR="008659B1" w14:paraId="3A5D430F" w14:textId="77777777" w:rsidTr="008659B1">
        <w:tc>
          <w:tcPr>
            <w:tcW w:w="9016" w:type="dxa"/>
          </w:tcPr>
          <w:p w14:paraId="6987322C" w14:textId="77777777" w:rsidR="008659B1" w:rsidRPr="008659B1" w:rsidRDefault="008659B1" w:rsidP="008659B1">
            <w:pPr>
              <w:spacing w:line="276" w:lineRule="auto"/>
              <w:jc w:val="both"/>
              <w:rPr>
                <w:b/>
              </w:rPr>
            </w:pPr>
            <w:r w:rsidRPr="008659B1">
              <w:rPr>
                <w:b/>
              </w:rPr>
              <w:t>Recommendation 67</w:t>
            </w:r>
          </w:p>
          <w:p w14:paraId="404F397D" w14:textId="029CB168" w:rsidR="008659B1" w:rsidRDefault="008659B1" w:rsidP="008659B1">
            <w:pPr>
              <w:rPr>
                <w:rFonts w:eastAsiaTheme="minorEastAsia"/>
              </w:rPr>
            </w:pPr>
            <w:r w:rsidRPr="00C23743">
              <w:t>The committee recommends that a national standard for information accessibility be developed under the auspices of the National Autism Strategy.</w:t>
            </w:r>
            <w:r w:rsidRPr="00C23743">
              <w:rPr>
                <w:spacing w:val="-7"/>
              </w:rPr>
              <w:t xml:space="preserve"> </w:t>
            </w:r>
            <w:r w:rsidRPr="00C23743">
              <w:t>This</w:t>
            </w:r>
            <w:r w:rsidRPr="00C23743">
              <w:rPr>
                <w:spacing w:val="-8"/>
              </w:rPr>
              <w:t xml:space="preserve"> </w:t>
            </w:r>
            <w:r w:rsidRPr="00C23743">
              <w:t>standard</w:t>
            </w:r>
            <w:r w:rsidRPr="00C23743">
              <w:rPr>
                <w:spacing w:val="-7"/>
              </w:rPr>
              <w:t xml:space="preserve"> </w:t>
            </w:r>
            <w:r w:rsidRPr="00C23743">
              <w:t>should</w:t>
            </w:r>
            <w:r w:rsidRPr="00C23743">
              <w:rPr>
                <w:spacing w:val="-8"/>
              </w:rPr>
              <w:t xml:space="preserve"> </w:t>
            </w:r>
            <w:r w:rsidRPr="00C23743">
              <w:t>align</w:t>
            </w:r>
            <w:r w:rsidRPr="00C23743">
              <w:rPr>
                <w:spacing w:val="-7"/>
              </w:rPr>
              <w:t xml:space="preserve"> </w:t>
            </w:r>
            <w:r w:rsidRPr="00C23743">
              <w:t>with</w:t>
            </w:r>
            <w:r w:rsidRPr="00C23743">
              <w:rPr>
                <w:spacing w:val="-5"/>
              </w:rPr>
              <w:t xml:space="preserve"> </w:t>
            </w:r>
            <w:r w:rsidRPr="00C23743">
              <w:t>existing</w:t>
            </w:r>
            <w:r w:rsidRPr="00C23743">
              <w:rPr>
                <w:spacing w:val="-6"/>
              </w:rPr>
              <w:t xml:space="preserve"> </w:t>
            </w:r>
            <w:r w:rsidRPr="00C23743">
              <w:t>accessibility</w:t>
            </w:r>
            <w:r w:rsidRPr="00C23743">
              <w:rPr>
                <w:spacing w:val="-5"/>
              </w:rPr>
              <w:t xml:space="preserve"> </w:t>
            </w:r>
            <w:r w:rsidRPr="00C23743">
              <w:t>standards</w:t>
            </w:r>
            <w:r w:rsidRPr="00C23743">
              <w:rPr>
                <w:spacing w:val="-8"/>
              </w:rPr>
              <w:t xml:space="preserve"> </w:t>
            </w:r>
            <w:r w:rsidRPr="00C23743">
              <w:t>but should also be tailored to meeting the needs of autistic</w:t>
            </w:r>
            <w:r w:rsidRPr="00C23743">
              <w:rPr>
                <w:spacing w:val="-9"/>
              </w:rPr>
              <w:t xml:space="preserve"> </w:t>
            </w:r>
            <w:r w:rsidRPr="00C23743">
              <w:t>people.</w:t>
            </w:r>
          </w:p>
        </w:tc>
      </w:tr>
    </w:tbl>
    <w:p w14:paraId="54BF2FE0" w14:textId="1583E068" w:rsidR="00056068" w:rsidRPr="00EA7A75" w:rsidRDefault="00056068" w:rsidP="00056068">
      <w:pPr>
        <w:rPr>
          <w:u w:val="single"/>
        </w:rPr>
      </w:pPr>
    </w:p>
    <w:p w14:paraId="459C90CC" w14:textId="13615989" w:rsidR="00056068" w:rsidRPr="005703DD" w:rsidRDefault="00056068" w:rsidP="00056068">
      <w:r>
        <w:rPr>
          <w:b/>
        </w:rPr>
        <w:t>Support</w:t>
      </w:r>
      <w:r w:rsidR="00F217C1">
        <w:rPr>
          <w:b/>
        </w:rPr>
        <w:t>ed</w:t>
      </w:r>
      <w:r>
        <w:rPr>
          <w:b/>
        </w:rPr>
        <w:t xml:space="preserve"> </w:t>
      </w:r>
      <w:r w:rsidRPr="00C34C80">
        <w:rPr>
          <w:b/>
        </w:rPr>
        <w:t>in principle</w:t>
      </w:r>
    </w:p>
    <w:p w14:paraId="090DB686" w14:textId="4A62735D" w:rsidR="00ED5F2A" w:rsidRPr="00ED5F2A" w:rsidRDefault="00056068" w:rsidP="00EA7A75">
      <w:pPr>
        <w:spacing w:after="240"/>
      </w:pPr>
      <w:r>
        <w:t>A national standard for information accessibility, aligning with existing accessibility standards and tailored to meeting the needs of autistic people, will be cons</w:t>
      </w:r>
      <w:r w:rsidR="0042017E">
        <w:t>idered in the development of a National Autism</w:t>
      </w:r>
      <w:r>
        <w:t xml:space="preserve"> Strategy. </w:t>
      </w:r>
    </w:p>
    <w:p w14:paraId="2703B824" w14:textId="60FD7304" w:rsidR="003E63E0" w:rsidRPr="00EA7A75" w:rsidRDefault="00362441" w:rsidP="00A12901">
      <w:pPr>
        <w:pStyle w:val="Heading2"/>
      </w:pPr>
      <w:r w:rsidRPr="0037625C">
        <w:t>Housing</w:t>
      </w:r>
    </w:p>
    <w:tbl>
      <w:tblPr>
        <w:tblStyle w:val="TableGrid"/>
        <w:tblW w:w="0" w:type="auto"/>
        <w:tblLook w:val="04A0" w:firstRow="1" w:lastRow="0" w:firstColumn="1" w:lastColumn="0" w:noHBand="0" w:noVBand="1"/>
        <w:tblDescription w:val="Decorative"/>
      </w:tblPr>
      <w:tblGrid>
        <w:gridCol w:w="9016"/>
      </w:tblGrid>
      <w:tr w:rsidR="0037625C" w14:paraId="1235A954" w14:textId="77777777" w:rsidTr="0037625C">
        <w:tc>
          <w:tcPr>
            <w:tcW w:w="9016" w:type="dxa"/>
          </w:tcPr>
          <w:p w14:paraId="7A9FE513" w14:textId="77777777" w:rsidR="0037625C" w:rsidRPr="0037625C" w:rsidRDefault="0037625C" w:rsidP="0037625C">
            <w:pPr>
              <w:spacing w:line="276" w:lineRule="auto"/>
              <w:jc w:val="both"/>
              <w:rPr>
                <w:b/>
              </w:rPr>
            </w:pPr>
            <w:r w:rsidRPr="0037625C">
              <w:rPr>
                <w:b/>
              </w:rPr>
              <w:t>Recommendation 68</w:t>
            </w:r>
          </w:p>
          <w:p w14:paraId="63240B87" w14:textId="77777777" w:rsidR="0037625C" w:rsidRPr="00C23743" w:rsidRDefault="0037625C" w:rsidP="0037625C">
            <w:pPr>
              <w:spacing w:before="60" w:line="276" w:lineRule="auto"/>
              <w:ind w:right="715"/>
            </w:pPr>
            <w:r w:rsidRPr="00C23743">
              <w:t>The committee recommends, as part of the inquiry into the National Disability Insurance Scheme proposed in Recommendation 6, that the effectiveness of funded supports to enable autistic people to live independently be reviewed. This should have particular reference to:</w:t>
            </w:r>
          </w:p>
          <w:p w14:paraId="78DB1D2C" w14:textId="77777777" w:rsidR="0037625C" w:rsidRPr="00C23743" w:rsidRDefault="0037625C" w:rsidP="0037625C">
            <w:pPr>
              <w:pStyle w:val="ListParagraph"/>
              <w:widowControl w:val="0"/>
              <w:numPr>
                <w:ilvl w:val="0"/>
                <w:numId w:val="5"/>
              </w:numPr>
              <w:tabs>
                <w:tab w:val="left" w:pos="1028"/>
              </w:tabs>
              <w:autoSpaceDE w:val="0"/>
              <w:autoSpaceDN w:val="0"/>
              <w:spacing w:before="121"/>
              <w:rPr>
                <w:rFonts w:ascii="Times New Roman" w:hAnsi="Times New Roman" w:cs="Times New Roman"/>
                <w:sz w:val="24"/>
                <w:szCs w:val="24"/>
              </w:rPr>
            </w:pPr>
            <w:r w:rsidRPr="00C23743">
              <w:rPr>
                <w:rFonts w:ascii="Times New Roman" w:hAnsi="Times New Roman" w:cs="Times New Roman"/>
                <w:sz w:val="24"/>
                <w:szCs w:val="24"/>
              </w:rPr>
              <w:t>the high proportion of autistic adults living in their family</w:t>
            </w:r>
            <w:r w:rsidRPr="00C23743">
              <w:rPr>
                <w:rFonts w:ascii="Times New Roman" w:hAnsi="Times New Roman" w:cs="Times New Roman"/>
                <w:spacing w:val="-8"/>
                <w:sz w:val="24"/>
                <w:szCs w:val="24"/>
              </w:rPr>
              <w:t xml:space="preserve"> </w:t>
            </w:r>
            <w:r w:rsidRPr="00C23743">
              <w:rPr>
                <w:rFonts w:ascii="Times New Roman" w:hAnsi="Times New Roman" w:cs="Times New Roman"/>
                <w:sz w:val="24"/>
                <w:szCs w:val="24"/>
              </w:rPr>
              <w:t>home;</w:t>
            </w:r>
          </w:p>
          <w:p w14:paraId="357C412A" w14:textId="77777777" w:rsidR="0037625C" w:rsidRDefault="0037625C" w:rsidP="0037625C">
            <w:pPr>
              <w:pStyle w:val="ListParagraph"/>
              <w:widowControl w:val="0"/>
              <w:numPr>
                <w:ilvl w:val="0"/>
                <w:numId w:val="5"/>
              </w:numPr>
              <w:tabs>
                <w:tab w:val="left" w:pos="1028"/>
              </w:tabs>
              <w:autoSpaceDE w:val="0"/>
              <w:autoSpaceDN w:val="0"/>
              <w:ind w:right="941"/>
              <w:rPr>
                <w:rFonts w:ascii="Times New Roman" w:hAnsi="Times New Roman" w:cs="Times New Roman"/>
                <w:sz w:val="24"/>
                <w:szCs w:val="24"/>
              </w:rPr>
            </w:pPr>
            <w:r w:rsidRPr="00C23743">
              <w:rPr>
                <w:rFonts w:ascii="Times New Roman" w:hAnsi="Times New Roman" w:cs="Times New Roman"/>
                <w:sz w:val="24"/>
                <w:szCs w:val="24"/>
              </w:rPr>
              <w:t>the impact (and appropriateness) of the informal care burden on parents and carers;</w:t>
            </w:r>
            <w:r w:rsidRPr="00C23743">
              <w:rPr>
                <w:rFonts w:ascii="Times New Roman" w:hAnsi="Times New Roman" w:cs="Times New Roman"/>
                <w:spacing w:val="-2"/>
                <w:sz w:val="24"/>
                <w:szCs w:val="24"/>
              </w:rPr>
              <w:t xml:space="preserve"> </w:t>
            </w:r>
            <w:r w:rsidRPr="00C23743">
              <w:rPr>
                <w:rFonts w:ascii="Times New Roman" w:hAnsi="Times New Roman" w:cs="Times New Roman"/>
                <w:sz w:val="24"/>
                <w:szCs w:val="24"/>
              </w:rPr>
              <w:t>and</w:t>
            </w:r>
          </w:p>
          <w:p w14:paraId="10471678" w14:textId="50F3D697" w:rsidR="0037625C" w:rsidRPr="0037625C" w:rsidRDefault="0037625C" w:rsidP="0037625C">
            <w:pPr>
              <w:pStyle w:val="ListParagraph"/>
              <w:widowControl w:val="0"/>
              <w:numPr>
                <w:ilvl w:val="0"/>
                <w:numId w:val="5"/>
              </w:numPr>
              <w:tabs>
                <w:tab w:val="left" w:pos="1028"/>
              </w:tabs>
              <w:autoSpaceDE w:val="0"/>
              <w:autoSpaceDN w:val="0"/>
              <w:ind w:right="941"/>
              <w:rPr>
                <w:rFonts w:ascii="Times New Roman" w:hAnsi="Times New Roman" w:cs="Times New Roman"/>
                <w:sz w:val="24"/>
                <w:szCs w:val="24"/>
              </w:rPr>
            </w:pPr>
            <w:r w:rsidRPr="00C23743">
              <w:rPr>
                <w:rFonts w:ascii="Times New Roman" w:hAnsi="Times New Roman" w:cs="Times New Roman"/>
                <w:sz w:val="24"/>
                <w:szCs w:val="24"/>
              </w:rPr>
              <w:t>the need for long-term accommodation planning to enable independent living following the death of a participant’s parents or</w:t>
            </w:r>
            <w:r w:rsidRPr="0037625C">
              <w:rPr>
                <w:rFonts w:ascii="Times New Roman" w:hAnsi="Times New Roman" w:cs="Times New Roman"/>
                <w:spacing w:val="-6"/>
                <w:sz w:val="24"/>
                <w:szCs w:val="24"/>
              </w:rPr>
              <w:t xml:space="preserve"> </w:t>
            </w:r>
            <w:r w:rsidRPr="00C23743">
              <w:rPr>
                <w:rFonts w:ascii="Times New Roman" w:hAnsi="Times New Roman" w:cs="Times New Roman"/>
                <w:sz w:val="24"/>
                <w:szCs w:val="24"/>
              </w:rPr>
              <w:t>carers.</w:t>
            </w:r>
          </w:p>
        </w:tc>
      </w:tr>
    </w:tbl>
    <w:p w14:paraId="61299632" w14:textId="77777777" w:rsidR="0037625C" w:rsidRPr="00EA7A75" w:rsidRDefault="0037625C" w:rsidP="003E63E0">
      <w:pPr>
        <w:rPr>
          <w:highlight w:val="green"/>
        </w:rPr>
      </w:pPr>
    </w:p>
    <w:p w14:paraId="7D8E5231" w14:textId="1295A1E5" w:rsidR="003E63E0" w:rsidRPr="003E63E0" w:rsidRDefault="003E63E0" w:rsidP="003E63E0">
      <w:pPr>
        <w:rPr>
          <w:b/>
        </w:rPr>
      </w:pPr>
      <w:r w:rsidRPr="003E63E0">
        <w:rPr>
          <w:b/>
        </w:rPr>
        <w:t>Support</w:t>
      </w:r>
      <w:r w:rsidR="00F217C1">
        <w:rPr>
          <w:b/>
        </w:rPr>
        <w:t>ed</w:t>
      </w:r>
      <w:r w:rsidR="00EC1D0A">
        <w:rPr>
          <w:b/>
        </w:rPr>
        <w:t xml:space="preserve"> in principle</w:t>
      </w:r>
    </w:p>
    <w:p w14:paraId="3B96EAFC" w14:textId="7934C045" w:rsidR="006A1CA5" w:rsidRPr="003E63E0" w:rsidRDefault="003E63E0" w:rsidP="00EA7A75">
      <w:pPr>
        <w:spacing w:after="240"/>
      </w:pPr>
      <w:r w:rsidRPr="003E63E0">
        <w:t xml:space="preserve">The </w:t>
      </w:r>
      <w:r w:rsidR="00B62FDB">
        <w:t xml:space="preserve">Australian </w:t>
      </w:r>
      <w:r w:rsidR="00040E11">
        <w:t>G</w:t>
      </w:r>
      <w:r w:rsidRPr="003E63E0">
        <w:t>overnmen</w:t>
      </w:r>
      <w:r w:rsidRPr="00040E11">
        <w:t xml:space="preserve">t </w:t>
      </w:r>
      <w:r w:rsidRPr="00040E11">
        <w:rPr>
          <w:bCs/>
        </w:rPr>
        <w:t>supports</w:t>
      </w:r>
      <w:r w:rsidRPr="003E63E0">
        <w:t xml:space="preserve"> this recommendation</w:t>
      </w:r>
      <w:r w:rsidR="00EC1D0A">
        <w:t xml:space="preserve"> in principle</w:t>
      </w:r>
      <w:r w:rsidR="003A61F1">
        <w:t>, and looks forward to </w:t>
      </w:r>
      <w:r w:rsidRPr="003E63E0">
        <w:t>working with the Joint Standing Committee.</w:t>
      </w:r>
    </w:p>
    <w:p w14:paraId="49BBBF60" w14:textId="6A5E3160" w:rsidR="003E63E0" w:rsidRPr="003E63E0" w:rsidRDefault="003E63E0" w:rsidP="00EA7A75">
      <w:pPr>
        <w:spacing w:after="240"/>
      </w:pPr>
      <w:r w:rsidRPr="003E63E0">
        <w:t>The NDIA is developing an overarching home and living policy that will inform the way NDIS participants are supported to pursu</w:t>
      </w:r>
      <w:r w:rsidR="00EA7A75">
        <w:t xml:space="preserve">e their home and living goals. </w:t>
      </w:r>
    </w:p>
    <w:p w14:paraId="42A9A209" w14:textId="6AB3E6A8" w:rsidR="003E63E0" w:rsidRPr="003E63E0" w:rsidRDefault="003E63E0" w:rsidP="00EA7A75">
      <w:pPr>
        <w:spacing w:after="240"/>
      </w:pPr>
      <w:r w:rsidRPr="003E63E0">
        <w:t>The aim of the policy will be to give participants more cho</w:t>
      </w:r>
      <w:r w:rsidR="003A61F1">
        <w:t>ice and control over where they </w:t>
      </w:r>
      <w:r w:rsidRPr="003E63E0">
        <w:t xml:space="preserve">live, who they live with and the supports they use. This also includes supporting participants to build the skills they need to live as independently as possible.  </w:t>
      </w:r>
    </w:p>
    <w:p w14:paraId="6E7A05F5" w14:textId="2BF38B2A" w:rsidR="003E63E0" w:rsidRPr="003E63E0" w:rsidRDefault="00E719C4" w:rsidP="00E719C4">
      <w:pPr>
        <w:spacing w:after="160" w:line="259" w:lineRule="auto"/>
      </w:pPr>
      <w:r>
        <w:br w:type="page"/>
      </w:r>
    </w:p>
    <w:p w14:paraId="7EFCE12A" w14:textId="2DDCD460" w:rsidR="003E63E0" w:rsidRDefault="003E63E0" w:rsidP="003E63E0">
      <w:pPr>
        <w:rPr>
          <w:lang w:eastAsia="en-AU"/>
        </w:rPr>
      </w:pPr>
      <w:r w:rsidRPr="003E63E0">
        <w:lastRenderedPageBreak/>
        <w:t xml:space="preserve">While co-design of the new home and living policy takes place, the NDIA is also progressing a significant program of shorter term work in line with the policy intent to improve home and living supports for </w:t>
      </w:r>
      <w:r w:rsidR="001432ED">
        <w:t>participants. Further</w:t>
      </w:r>
      <w:r w:rsidRPr="003E63E0">
        <w:t xml:space="preserve"> information about this is available at: </w:t>
      </w:r>
      <w:hyperlink r:id="rId18" w:history="1">
        <w:r w:rsidR="00F217C1">
          <w:rPr>
            <w:rStyle w:val="Hyperlink"/>
          </w:rPr>
          <w:t>Housing and living supports and services</w:t>
        </w:r>
      </w:hyperlink>
      <w:r w:rsidRPr="003E63E0">
        <w:t>.</w:t>
      </w:r>
      <w:r w:rsidRPr="003E63E0">
        <w:rPr>
          <w:lang w:eastAsia="en-AU"/>
        </w:rPr>
        <w:t xml:space="preserve"> </w:t>
      </w:r>
    </w:p>
    <w:p w14:paraId="04B2B1D5" w14:textId="4DABF117" w:rsidR="00F217C1" w:rsidRDefault="00F217C1" w:rsidP="00040E11"/>
    <w:tbl>
      <w:tblPr>
        <w:tblStyle w:val="TableGrid"/>
        <w:tblW w:w="0" w:type="auto"/>
        <w:tblLook w:val="04A0" w:firstRow="1" w:lastRow="0" w:firstColumn="1" w:lastColumn="0" w:noHBand="0" w:noVBand="1"/>
        <w:tblDescription w:val="Decorative"/>
      </w:tblPr>
      <w:tblGrid>
        <w:gridCol w:w="9016"/>
      </w:tblGrid>
      <w:tr w:rsidR="002A70DF" w14:paraId="7FCA0366" w14:textId="77777777" w:rsidTr="002A70DF">
        <w:tc>
          <w:tcPr>
            <w:tcW w:w="9016" w:type="dxa"/>
          </w:tcPr>
          <w:p w14:paraId="1B4E0D6E" w14:textId="77777777" w:rsidR="002A70DF" w:rsidRPr="002A70DF" w:rsidRDefault="002A70DF" w:rsidP="002A70DF">
            <w:pPr>
              <w:spacing w:before="1" w:line="276" w:lineRule="auto"/>
              <w:jc w:val="both"/>
              <w:rPr>
                <w:b/>
              </w:rPr>
            </w:pPr>
            <w:r w:rsidRPr="002A70DF">
              <w:rPr>
                <w:b/>
              </w:rPr>
              <w:t>Recommendation 69</w:t>
            </w:r>
          </w:p>
          <w:p w14:paraId="7018BAFA" w14:textId="1C65F4E1" w:rsidR="002A70DF" w:rsidRDefault="002A70DF" w:rsidP="002A70DF">
            <w:r w:rsidRPr="00C23743">
              <w:t>The committee recommends that the National Disability Insurance Agency work with relevant stakeholders to review the Specialist Disability Accommodation Design Standard to ensure it accounts for the sensory</w:t>
            </w:r>
            <w:r w:rsidRPr="00C23743">
              <w:rPr>
                <w:spacing w:val="-35"/>
              </w:rPr>
              <w:t xml:space="preserve"> </w:t>
            </w:r>
            <w:r w:rsidRPr="00C23743">
              <w:t>issues experienced by autistic</w:t>
            </w:r>
            <w:r w:rsidRPr="00C23743">
              <w:rPr>
                <w:spacing w:val="-2"/>
              </w:rPr>
              <w:t xml:space="preserve"> </w:t>
            </w:r>
            <w:r w:rsidRPr="00C23743">
              <w:t>participants.</w:t>
            </w:r>
          </w:p>
        </w:tc>
      </w:tr>
    </w:tbl>
    <w:p w14:paraId="26B4C388" w14:textId="77777777" w:rsidR="002A70DF" w:rsidRPr="006A1CA5" w:rsidRDefault="002A70DF" w:rsidP="00040E11"/>
    <w:p w14:paraId="45268E25" w14:textId="2DEC03A6" w:rsidR="00F217C1" w:rsidRPr="00F217C1" w:rsidRDefault="00F217C1" w:rsidP="00040E11">
      <w:pPr>
        <w:rPr>
          <w:b/>
        </w:rPr>
      </w:pPr>
      <w:r w:rsidRPr="00132952">
        <w:rPr>
          <w:b/>
        </w:rPr>
        <w:t>Supported</w:t>
      </w:r>
    </w:p>
    <w:p w14:paraId="739266C8" w14:textId="13251E89" w:rsidR="003E63E0" w:rsidRPr="00F217C1" w:rsidRDefault="003E63E0" w:rsidP="00EA7A75">
      <w:pPr>
        <w:spacing w:after="240"/>
        <w:rPr>
          <w:rFonts w:eastAsiaTheme="minorEastAsia"/>
          <w:lang w:val="en-NZ"/>
        </w:rPr>
      </w:pPr>
      <w:r w:rsidRPr="00F217C1">
        <w:t>Following extensive feedback</w:t>
      </w:r>
      <w:r w:rsidRPr="00F217C1">
        <w:rPr>
          <w:rFonts w:eastAsiaTheme="minorEastAsia"/>
          <w:lang w:val="en-NZ"/>
        </w:rPr>
        <w:t xml:space="preserve"> from the developing </w:t>
      </w:r>
      <w:r w:rsidR="00040E11" w:rsidRPr="00F217C1">
        <w:rPr>
          <w:rFonts w:eastAsiaTheme="minorEastAsia"/>
          <w:lang w:val="en-NZ"/>
        </w:rPr>
        <w:t xml:space="preserve">the </w:t>
      </w:r>
      <w:r w:rsidRPr="00F217C1">
        <w:rPr>
          <w:rFonts w:eastAsiaTheme="minorEastAsia"/>
          <w:lang w:val="en-NZ"/>
        </w:rPr>
        <w:t xml:space="preserve">Specialist Disability Accommodation (SDA) market for greater certainty in the process, the NDIA engaged Liveable Housing Australia (LHA) to develop a technical guide for expanding the amount of relevant detail available for the build of SDA dwellings. </w:t>
      </w:r>
    </w:p>
    <w:p w14:paraId="49DF74BD" w14:textId="108D4685" w:rsidR="003A61F1" w:rsidRPr="00F217C1" w:rsidRDefault="003E63E0" w:rsidP="00EA7A75">
      <w:pPr>
        <w:spacing w:after="240"/>
        <w:rPr>
          <w:rFonts w:eastAsiaTheme="minorEastAsia"/>
          <w:lang w:val="en-NZ"/>
        </w:rPr>
      </w:pPr>
      <w:r w:rsidRPr="00F217C1">
        <w:rPr>
          <w:rFonts w:eastAsiaTheme="minorEastAsia"/>
          <w:lang w:val="en-NZ"/>
        </w:rPr>
        <w:t>The SDA Design outlines the detailed design requirements for newly built SDA seeking enrolment und</w:t>
      </w:r>
      <w:r w:rsidR="00F217C1" w:rsidRPr="00F217C1">
        <w:rPr>
          <w:rFonts w:eastAsiaTheme="minorEastAsia"/>
          <w:lang w:val="en-NZ"/>
        </w:rPr>
        <w:t>er the NDIS. This standard has four</w:t>
      </w:r>
      <w:r w:rsidRPr="00F217C1">
        <w:rPr>
          <w:rFonts w:eastAsiaTheme="minorEastAsia"/>
          <w:lang w:val="en-NZ"/>
        </w:rPr>
        <w:t xml:space="preserve"> categories of SDA design, as set out in the SDA Rules (2020): </w:t>
      </w:r>
    </w:p>
    <w:p w14:paraId="4780DB9A" w14:textId="77777777" w:rsidR="003E63E0" w:rsidRPr="003A61F1" w:rsidRDefault="003E63E0" w:rsidP="00EA7A75">
      <w:pPr>
        <w:pStyle w:val="ListParagraph"/>
        <w:numPr>
          <w:ilvl w:val="0"/>
          <w:numId w:val="7"/>
        </w:numPr>
        <w:spacing w:after="0" w:line="240" w:lineRule="auto"/>
        <w:ind w:left="714" w:hanging="357"/>
        <w:rPr>
          <w:rFonts w:ascii="Times New Roman" w:hAnsi="Times New Roman" w:cs="Times New Roman"/>
          <w:sz w:val="24"/>
          <w:szCs w:val="24"/>
        </w:rPr>
      </w:pPr>
      <w:r w:rsidRPr="003A61F1">
        <w:rPr>
          <w:rFonts w:ascii="Times New Roman" w:hAnsi="Times New Roman" w:cs="Times New Roman"/>
          <w:sz w:val="24"/>
          <w:szCs w:val="24"/>
        </w:rPr>
        <w:t>Improved Liveability</w:t>
      </w:r>
    </w:p>
    <w:p w14:paraId="35758900" w14:textId="77777777" w:rsidR="003E63E0" w:rsidRPr="003A61F1" w:rsidRDefault="003E63E0" w:rsidP="003A61F1">
      <w:pPr>
        <w:pStyle w:val="ListParagraph"/>
        <w:numPr>
          <w:ilvl w:val="0"/>
          <w:numId w:val="7"/>
        </w:numPr>
        <w:spacing w:after="0" w:line="240" w:lineRule="auto"/>
        <w:ind w:left="714" w:hanging="357"/>
        <w:rPr>
          <w:rFonts w:ascii="Times New Roman" w:hAnsi="Times New Roman" w:cs="Times New Roman"/>
          <w:sz w:val="24"/>
          <w:szCs w:val="24"/>
        </w:rPr>
      </w:pPr>
      <w:r w:rsidRPr="003A61F1">
        <w:rPr>
          <w:rFonts w:ascii="Times New Roman" w:hAnsi="Times New Roman" w:cs="Times New Roman"/>
          <w:sz w:val="24"/>
          <w:szCs w:val="24"/>
        </w:rPr>
        <w:t>Robust</w:t>
      </w:r>
    </w:p>
    <w:p w14:paraId="7915879C" w14:textId="77777777" w:rsidR="003E63E0" w:rsidRPr="003A61F1" w:rsidRDefault="003E63E0" w:rsidP="003A61F1">
      <w:pPr>
        <w:pStyle w:val="ListParagraph"/>
        <w:numPr>
          <w:ilvl w:val="0"/>
          <w:numId w:val="7"/>
        </w:numPr>
        <w:spacing w:after="0" w:line="240" w:lineRule="auto"/>
        <w:ind w:left="714" w:hanging="357"/>
        <w:rPr>
          <w:rFonts w:ascii="Times New Roman" w:hAnsi="Times New Roman" w:cs="Times New Roman"/>
          <w:sz w:val="24"/>
          <w:szCs w:val="24"/>
        </w:rPr>
      </w:pPr>
      <w:r w:rsidRPr="003A61F1">
        <w:rPr>
          <w:rFonts w:ascii="Times New Roman" w:hAnsi="Times New Roman" w:cs="Times New Roman"/>
          <w:sz w:val="24"/>
          <w:szCs w:val="24"/>
        </w:rPr>
        <w:t>Fully Accessible</w:t>
      </w:r>
    </w:p>
    <w:p w14:paraId="6295BD4F" w14:textId="03D993AD" w:rsidR="00EA7A75" w:rsidRPr="00EA7A75" w:rsidRDefault="003E63E0" w:rsidP="00EA7A75">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EA7A75">
        <w:rPr>
          <w:rFonts w:ascii="Times New Roman" w:hAnsi="Times New Roman" w:cs="Times New Roman"/>
          <w:sz w:val="24"/>
          <w:szCs w:val="24"/>
        </w:rPr>
        <w:t>High Physical Support</w:t>
      </w:r>
    </w:p>
    <w:p w14:paraId="157EB0D7" w14:textId="47E6715A" w:rsidR="003E63E0" w:rsidRPr="00EA7A75" w:rsidRDefault="003E63E0" w:rsidP="00EA7A75">
      <w:pPr>
        <w:spacing w:after="240"/>
        <w:rPr>
          <w:rFonts w:eastAsiaTheme="minorEastAsia"/>
          <w:lang w:val="en-NZ"/>
        </w:rPr>
      </w:pPr>
      <w:r w:rsidRPr="00EA7A75">
        <w:rPr>
          <w:rFonts w:eastAsiaTheme="minorHAnsi"/>
        </w:rPr>
        <w:t>In particular</w:t>
      </w:r>
      <w:r w:rsidR="00F217C1" w:rsidRPr="00EA7A75">
        <w:rPr>
          <w:rFonts w:eastAsiaTheme="minorEastAsia"/>
          <w:lang w:val="en-NZ"/>
        </w:rPr>
        <w:t>,</w:t>
      </w:r>
      <w:r w:rsidRPr="00EA7A75">
        <w:rPr>
          <w:rFonts w:eastAsiaTheme="minorEastAsia"/>
          <w:lang w:val="en-NZ"/>
        </w:rPr>
        <w:t xml:space="preserve"> the SDA type </w:t>
      </w:r>
      <w:r w:rsidR="00F217C1" w:rsidRPr="00EA7A75">
        <w:rPr>
          <w:rFonts w:eastAsiaTheme="minorEastAsia"/>
          <w:lang w:val="en-NZ"/>
        </w:rPr>
        <w:t>‘</w:t>
      </w:r>
      <w:r w:rsidRPr="00EA7A75">
        <w:rPr>
          <w:rFonts w:eastAsiaTheme="minorEastAsia"/>
          <w:lang w:val="en-NZ"/>
        </w:rPr>
        <w:t>Improved Liv</w:t>
      </w:r>
      <w:r w:rsidR="00F217C1" w:rsidRPr="00EA7A75">
        <w:rPr>
          <w:rFonts w:eastAsiaTheme="minorEastAsia"/>
          <w:lang w:val="en-NZ"/>
        </w:rPr>
        <w:t>e</w:t>
      </w:r>
      <w:r w:rsidRPr="00EA7A75">
        <w:rPr>
          <w:rFonts w:eastAsiaTheme="minorEastAsia"/>
          <w:lang w:val="en-NZ"/>
        </w:rPr>
        <w:t>ability</w:t>
      </w:r>
      <w:r w:rsidR="00F217C1" w:rsidRPr="00EA7A75">
        <w:rPr>
          <w:rFonts w:eastAsiaTheme="minorEastAsia"/>
          <w:lang w:val="en-NZ"/>
        </w:rPr>
        <w:t xml:space="preserve">’ </w:t>
      </w:r>
      <w:r w:rsidRPr="00EA7A75">
        <w:rPr>
          <w:rFonts w:eastAsiaTheme="minorEastAsia"/>
          <w:lang w:val="en-NZ"/>
        </w:rPr>
        <w:t>has been designed to improve ‘Liveability’ by incorporating a reasonable level of physical access and enhanced provision for people with sensory, intell</w:t>
      </w:r>
      <w:r w:rsidR="00EA7A75" w:rsidRPr="00EA7A75">
        <w:rPr>
          <w:rFonts w:eastAsiaTheme="minorEastAsia"/>
          <w:lang w:val="en-NZ"/>
        </w:rPr>
        <w:t>ectual or cognitive impairment.</w:t>
      </w:r>
    </w:p>
    <w:p w14:paraId="1DFC8661" w14:textId="4D33E2C2" w:rsidR="006A1CA5" w:rsidRDefault="003E63E0" w:rsidP="00EA7A75">
      <w:pPr>
        <w:spacing w:after="240"/>
        <w:rPr>
          <w:rFonts w:eastAsiaTheme="minorEastAsia"/>
          <w:lang w:val="en-NZ"/>
        </w:rPr>
      </w:pPr>
      <w:r w:rsidRPr="00F217C1">
        <w:rPr>
          <w:rFonts w:eastAsiaTheme="minorEastAsia"/>
          <w:lang w:val="en-NZ"/>
        </w:rPr>
        <w:t>The SDA Design Standard will be reviewed in 2023.</w:t>
      </w:r>
    </w:p>
    <w:tbl>
      <w:tblPr>
        <w:tblStyle w:val="TableGrid"/>
        <w:tblW w:w="0" w:type="auto"/>
        <w:tblLook w:val="04A0" w:firstRow="1" w:lastRow="0" w:firstColumn="1" w:lastColumn="0" w:noHBand="0" w:noVBand="1"/>
        <w:tblDescription w:val="Decorative"/>
      </w:tblPr>
      <w:tblGrid>
        <w:gridCol w:w="9016"/>
      </w:tblGrid>
      <w:tr w:rsidR="002A70DF" w14:paraId="4917BAB5" w14:textId="77777777" w:rsidTr="002A70DF">
        <w:tc>
          <w:tcPr>
            <w:tcW w:w="9016" w:type="dxa"/>
          </w:tcPr>
          <w:p w14:paraId="39525265" w14:textId="77777777" w:rsidR="002A70DF" w:rsidRPr="002A70DF" w:rsidRDefault="002A70DF" w:rsidP="002A70DF">
            <w:pPr>
              <w:spacing w:before="1" w:line="276" w:lineRule="auto"/>
              <w:jc w:val="both"/>
              <w:rPr>
                <w:b/>
              </w:rPr>
            </w:pPr>
            <w:r w:rsidRPr="002A70DF">
              <w:rPr>
                <w:b/>
              </w:rPr>
              <w:t>Recommendation 70</w:t>
            </w:r>
          </w:p>
          <w:p w14:paraId="36146FF4" w14:textId="262FD18C" w:rsidR="002A70DF" w:rsidRDefault="002A70DF" w:rsidP="002A70DF">
            <w:pPr>
              <w:spacing w:after="160" w:line="259" w:lineRule="auto"/>
              <w:rPr>
                <w:rFonts w:eastAsiaTheme="minorEastAsia"/>
                <w:lang w:val="en-NZ"/>
              </w:rPr>
            </w:pPr>
            <w:r w:rsidRPr="00C23743">
              <w:t xml:space="preserve">The committee recommends that the </w:t>
            </w:r>
            <w:r>
              <w:t xml:space="preserve">Australian Government work with </w:t>
            </w:r>
            <w:r w:rsidRPr="00C23743">
              <w:t>state and territory governments and relevant stakeholders to develop housing strategies</w:t>
            </w:r>
            <w:r w:rsidRPr="00C23743">
              <w:rPr>
                <w:spacing w:val="-8"/>
              </w:rPr>
              <w:t xml:space="preserve"> </w:t>
            </w:r>
            <w:r w:rsidRPr="00C23743">
              <w:t>to</w:t>
            </w:r>
            <w:r w:rsidRPr="00C23743">
              <w:rPr>
                <w:spacing w:val="-9"/>
              </w:rPr>
              <w:t xml:space="preserve"> </w:t>
            </w:r>
            <w:r w:rsidRPr="00C23743">
              <w:t>encourage</w:t>
            </w:r>
            <w:r w:rsidRPr="00C23743">
              <w:rPr>
                <w:spacing w:val="-10"/>
              </w:rPr>
              <w:t xml:space="preserve"> </w:t>
            </w:r>
            <w:r w:rsidRPr="00C23743">
              <w:t>the</w:t>
            </w:r>
            <w:r w:rsidRPr="00C23743">
              <w:rPr>
                <w:spacing w:val="-7"/>
              </w:rPr>
              <w:t xml:space="preserve"> </w:t>
            </w:r>
            <w:r w:rsidRPr="00C23743">
              <w:t>construction</w:t>
            </w:r>
            <w:r w:rsidRPr="00C23743">
              <w:rPr>
                <w:spacing w:val="-10"/>
              </w:rPr>
              <w:t xml:space="preserve"> </w:t>
            </w:r>
            <w:r w:rsidRPr="00C23743">
              <w:t>of</w:t>
            </w:r>
            <w:r w:rsidRPr="00C23743">
              <w:rPr>
                <w:spacing w:val="-9"/>
              </w:rPr>
              <w:t xml:space="preserve"> </w:t>
            </w:r>
            <w:r w:rsidRPr="00C23743">
              <w:t>social</w:t>
            </w:r>
            <w:r w:rsidRPr="00C23743">
              <w:rPr>
                <w:spacing w:val="-10"/>
              </w:rPr>
              <w:t xml:space="preserve"> </w:t>
            </w:r>
            <w:r w:rsidRPr="00C23743">
              <w:t>housing</w:t>
            </w:r>
            <w:r w:rsidRPr="00C23743">
              <w:rPr>
                <w:spacing w:val="-9"/>
              </w:rPr>
              <w:t xml:space="preserve"> </w:t>
            </w:r>
            <w:r w:rsidRPr="00C23743">
              <w:t>that</w:t>
            </w:r>
            <w:r w:rsidRPr="00C23743">
              <w:rPr>
                <w:spacing w:val="-7"/>
              </w:rPr>
              <w:t xml:space="preserve"> </w:t>
            </w:r>
            <w:r w:rsidRPr="00C23743">
              <w:t>responds</w:t>
            </w:r>
            <w:r w:rsidRPr="00C23743">
              <w:rPr>
                <w:spacing w:val="-11"/>
              </w:rPr>
              <w:t xml:space="preserve"> </w:t>
            </w:r>
            <w:r w:rsidRPr="00C23743">
              <w:t>to</w:t>
            </w:r>
            <w:r w:rsidRPr="00C23743">
              <w:rPr>
                <w:spacing w:val="-9"/>
              </w:rPr>
              <w:t xml:space="preserve"> </w:t>
            </w:r>
            <w:r w:rsidRPr="00C23743">
              <w:t>the needs of autistic people in relation to housing design and</w:t>
            </w:r>
            <w:r w:rsidRPr="00C23743">
              <w:rPr>
                <w:spacing w:val="-10"/>
              </w:rPr>
              <w:t xml:space="preserve"> </w:t>
            </w:r>
            <w:r w:rsidRPr="00C23743">
              <w:t>type.</w:t>
            </w:r>
          </w:p>
        </w:tc>
      </w:tr>
    </w:tbl>
    <w:p w14:paraId="4D4075A6" w14:textId="6FCE6DA9" w:rsidR="00062101" w:rsidRPr="00B635C4" w:rsidRDefault="00062101" w:rsidP="00062101"/>
    <w:p w14:paraId="5A467B5A" w14:textId="07E0E889" w:rsidR="0056306E" w:rsidRDefault="000414D4" w:rsidP="000414D4">
      <w:r w:rsidRPr="0056306E">
        <w:rPr>
          <w:b/>
        </w:rPr>
        <w:t>Noted</w:t>
      </w:r>
    </w:p>
    <w:p w14:paraId="64E81213" w14:textId="18E0FBBA" w:rsidR="000414D4" w:rsidRPr="00D3010B" w:rsidRDefault="000414D4" w:rsidP="00D3010B">
      <w:pPr>
        <w:spacing w:after="240"/>
        <w:rPr>
          <w:sz w:val="22"/>
          <w:szCs w:val="22"/>
        </w:rPr>
      </w:pPr>
      <w:r w:rsidRPr="00703052">
        <w:t xml:space="preserve">The </w:t>
      </w:r>
      <w:r w:rsidR="00B62FDB">
        <w:t>Australian</w:t>
      </w:r>
      <w:r w:rsidR="00B62FDB" w:rsidRPr="00703052" w:rsidDel="00040E11">
        <w:t xml:space="preserve"> </w:t>
      </w:r>
      <w:r w:rsidRPr="00703052">
        <w:t>Government provides around $1.6 billion</w:t>
      </w:r>
      <w:r w:rsidR="00040E11">
        <w:rPr>
          <w:sz w:val="22"/>
          <w:szCs w:val="22"/>
        </w:rPr>
        <w:t xml:space="preserve"> </w:t>
      </w:r>
      <w:r w:rsidRPr="00703052">
        <w:t>each year to states</w:t>
      </w:r>
      <w:r w:rsidR="00062101">
        <w:t xml:space="preserve"> and territories</w:t>
      </w:r>
      <w:r w:rsidR="00132952">
        <w:t xml:space="preserve"> to </w:t>
      </w:r>
      <w:r w:rsidRPr="00703052">
        <w:t>improve housing and homelessness outcomes through the National Housing and Homelessness Agreement (NHHA).</w:t>
      </w:r>
    </w:p>
    <w:p w14:paraId="360A5CD0" w14:textId="699A553A" w:rsidR="000414D4" w:rsidRPr="00703052" w:rsidRDefault="00F217C1" w:rsidP="00D3010B">
      <w:pPr>
        <w:spacing w:after="240"/>
      </w:pPr>
      <w:r>
        <w:t>To receive funding u</w:t>
      </w:r>
      <w:r w:rsidR="000414D4" w:rsidRPr="00703052">
        <w:t>nde</w:t>
      </w:r>
      <w:r>
        <w:t xml:space="preserve">r the NHHA, </w:t>
      </w:r>
      <w:r w:rsidR="000414D4" w:rsidRPr="00703052">
        <w:t>state and territory governments are required to have publicly available housing and homelessness strategies and contribute to improved data collection and reporting.</w:t>
      </w:r>
    </w:p>
    <w:p w14:paraId="65CFCF25" w14:textId="1D85B481" w:rsidR="000414D4" w:rsidRPr="00703052" w:rsidRDefault="00B962B1" w:rsidP="00B962B1">
      <w:pPr>
        <w:spacing w:after="160" w:line="259" w:lineRule="auto"/>
      </w:pPr>
      <w:r>
        <w:br w:type="page"/>
      </w:r>
    </w:p>
    <w:p w14:paraId="6004F218" w14:textId="5A9FB7E0" w:rsidR="000414D4" w:rsidRPr="00703052" w:rsidRDefault="000414D4" w:rsidP="00D3010B">
      <w:pPr>
        <w:spacing w:after="240"/>
      </w:pPr>
      <w:r w:rsidRPr="00703052">
        <w:lastRenderedPageBreak/>
        <w:t>The Productivity Commission is currently undertaking a review of the NHHA including the extent to which the NHHA is meeting the obligations o</w:t>
      </w:r>
      <w:r w:rsidR="00F217C1">
        <w:t>f governments under Australia’s </w:t>
      </w:r>
      <w:r w:rsidRPr="00703052">
        <w:t xml:space="preserve">Disability Strategy. The final report is due to be </w:t>
      </w:r>
      <w:r w:rsidR="00040E11">
        <w:t xml:space="preserve">delivered </w:t>
      </w:r>
      <w:r w:rsidRPr="00703052">
        <w:t xml:space="preserve">to the </w:t>
      </w:r>
      <w:r w:rsidR="00B62FDB">
        <w:t>Australian</w:t>
      </w:r>
      <w:r w:rsidR="00132952">
        <w:t> </w:t>
      </w:r>
      <w:r w:rsidRPr="00703052">
        <w:t>Government before 31 August 2022.</w:t>
      </w:r>
    </w:p>
    <w:p w14:paraId="7FEC4A44" w14:textId="5BDA05FF" w:rsidR="00062EE5" w:rsidRDefault="000414D4" w:rsidP="00D3010B">
      <w:pPr>
        <w:spacing w:after="240"/>
      </w:pPr>
      <w:r w:rsidRPr="00703052">
        <w:t xml:space="preserve">The </w:t>
      </w:r>
      <w:r w:rsidR="00040E11">
        <w:t>Australian</w:t>
      </w:r>
      <w:r w:rsidRPr="00703052">
        <w:t xml:space="preserve"> and state and territory governments continue to engage actively on housing issues for people with disability through regular mee</w:t>
      </w:r>
      <w:r w:rsidR="00062101">
        <w:t xml:space="preserve">tings of Disability Ministers. </w:t>
      </w:r>
    </w:p>
    <w:p w14:paraId="49447056" w14:textId="4073D072" w:rsidR="004736FD" w:rsidRDefault="00062EE5" w:rsidP="00D3010B">
      <w:pPr>
        <w:spacing w:after="240"/>
      </w:pPr>
      <w:r>
        <w:t>The Australian Government has also made a commitment to develop a National Housing and Homelessness Plan. The Australian Government will work collaboratively with states and territories and key stakeholders to</w:t>
      </w:r>
      <w:r w:rsidR="00D3010B">
        <w:t xml:space="preserve"> design and implement the plan.</w:t>
      </w:r>
    </w:p>
    <w:tbl>
      <w:tblPr>
        <w:tblStyle w:val="TableGrid"/>
        <w:tblW w:w="0" w:type="auto"/>
        <w:tblLook w:val="04A0" w:firstRow="1" w:lastRow="0" w:firstColumn="1" w:lastColumn="0" w:noHBand="0" w:noVBand="1"/>
        <w:tblDescription w:val="Decorative"/>
      </w:tblPr>
      <w:tblGrid>
        <w:gridCol w:w="9016"/>
      </w:tblGrid>
      <w:tr w:rsidR="004736FD" w14:paraId="6ACB7192" w14:textId="77777777" w:rsidTr="004736FD">
        <w:tc>
          <w:tcPr>
            <w:tcW w:w="9016" w:type="dxa"/>
          </w:tcPr>
          <w:p w14:paraId="7F1A8FAA" w14:textId="77777777" w:rsidR="004736FD" w:rsidRPr="004736FD" w:rsidRDefault="004736FD" w:rsidP="004736FD">
            <w:pPr>
              <w:spacing w:before="1"/>
              <w:jc w:val="both"/>
              <w:rPr>
                <w:b/>
              </w:rPr>
            </w:pPr>
            <w:r w:rsidRPr="004736FD">
              <w:rPr>
                <w:b/>
              </w:rPr>
              <w:t>Recommendation 71</w:t>
            </w:r>
          </w:p>
          <w:p w14:paraId="0D5757AE" w14:textId="39066A7D" w:rsidR="004736FD" w:rsidRDefault="004736FD" w:rsidP="004736FD">
            <w:r w:rsidRPr="005F66E0">
              <w:t>The committee recommends that the National Disability Insurance Agency work with state and territory governments and non-government housing providers to increase the supply of the 'robust' category of Specialist Disability</w:t>
            </w:r>
            <w:r w:rsidRPr="005F66E0">
              <w:rPr>
                <w:spacing w:val="-1"/>
              </w:rPr>
              <w:t xml:space="preserve"> </w:t>
            </w:r>
            <w:r w:rsidRPr="005F66E0">
              <w:t>Accommodation.</w:t>
            </w:r>
          </w:p>
        </w:tc>
      </w:tr>
    </w:tbl>
    <w:p w14:paraId="00E92EAA" w14:textId="5D945C36" w:rsidR="008337E4" w:rsidRPr="00B635C4" w:rsidRDefault="008337E4" w:rsidP="008337E4"/>
    <w:p w14:paraId="35A247CD" w14:textId="08D1844F" w:rsidR="00F217C1" w:rsidRPr="00F217C1" w:rsidRDefault="00F217C1" w:rsidP="00560ED8">
      <w:pPr>
        <w:rPr>
          <w:b/>
        </w:rPr>
      </w:pPr>
      <w:r w:rsidRPr="00132952">
        <w:rPr>
          <w:b/>
        </w:rPr>
        <w:t>Supported in principle</w:t>
      </w:r>
      <w:r>
        <w:rPr>
          <w:b/>
        </w:rPr>
        <w:t xml:space="preserve"> </w:t>
      </w:r>
    </w:p>
    <w:p w14:paraId="701F1025" w14:textId="5C0C8418" w:rsidR="00EC1D0A" w:rsidRDefault="00520397" w:rsidP="00B635C4">
      <w:pPr>
        <w:spacing w:after="240"/>
      </w:pPr>
      <w:r>
        <w:t>In 2019 the NDIA</w:t>
      </w:r>
      <w:r w:rsidR="00560ED8" w:rsidRPr="00560ED8">
        <w:t xml:space="preserve"> undertook a limited cost assumptions review of Specialist Disability Accommodation (SDA) pricing, specifically to identify where market supply was not increasing as expected. One result from this review was to increase the SDA price caps for </w:t>
      </w:r>
      <w:r w:rsidR="00933225">
        <w:t>‘r</w:t>
      </w:r>
      <w:r w:rsidR="00560ED8" w:rsidRPr="00560ED8">
        <w:t>obust</w:t>
      </w:r>
      <w:r w:rsidR="00933225">
        <w:t>’</w:t>
      </w:r>
      <w:r w:rsidR="00560ED8" w:rsidRPr="00560ED8">
        <w:t xml:space="preserve"> dwellings of between 9.4</w:t>
      </w:r>
      <w:r w:rsidR="00933225">
        <w:t xml:space="preserve"> per cent</w:t>
      </w:r>
      <w:r w:rsidR="00560ED8" w:rsidRPr="00560ED8">
        <w:t xml:space="preserve"> and 14.1</w:t>
      </w:r>
      <w:r w:rsidR="00933225">
        <w:t xml:space="preserve"> per cent</w:t>
      </w:r>
      <w:r w:rsidR="00560ED8" w:rsidRPr="00560ED8">
        <w:t xml:space="preserve">. Since that time a steady increase in supply has been achieved. There are currently 441 dwellings enrolled in the </w:t>
      </w:r>
      <w:r w:rsidR="00933225">
        <w:t>‘r</w:t>
      </w:r>
      <w:r w:rsidR="00560ED8" w:rsidRPr="00560ED8">
        <w:t>obust</w:t>
      </w:r>
      <w:r w:rsidR="00933225">
        <w:t>’</w:t>
      </w:r>
      <w:r w:rsidR="00560ED8" w:rsidRPr="00560ED8">
        <w:t xml:space="preserve"> category.</w:t>
      </w:r>
    </w:p>
    <w:p w14:paraId="3ADC9B18" w14:textId="1C3F0DFC" w:rsidR="00373847" w:rsidRDefault="00EC1D0A" w:rsidP="00B635C4">
      <w:pPr>
        <w:spacing w:after="240"/>
      </w:pPr>
      <w:r w:rsidRPr="00560ED8">
        <w:t xml:space="preserve">SDA </w:t>
      </w:r>
      <w:r>
        <w:t xml:space="preserve">dwelling enrolment </w:t>
      </w:r>
      <w:r w:rsidRPr="00560ED8">
        <w:t>data</w:t>
      </w:r>
      <w:r>
        <w:t xml:space="preserve"> also</w:t>
      </w:r>
      <w:r w:rsidRPr="00560ED8">
        <w:t xml:space="preserve"> indicates </w:t>
      </w:r>
      <w:r>
        <w:t>that there are currently 334</w:t>
      </w:r>
      <w:r w:rsidRPr="00560ED8">
        <w:t xml:space="preserve"> </w:t>
      </w:r>
      <w:r>
        <w:t xml:space="preserve">brand new </w:t>
      </w:r>
      <w:r w:rsidRPr="00560ED8">
        <w:t xml:space="preserve">dwellings (equivalent to </w:t>
      </w:r>
      <w:r>
        <w:t>624</w:t>
      </w:r>
      <w:r w:rsidRPr="00560ED8">
        <w:t xml:space="preserve"> rooms) under construction</w:t>
      </w:r>
      <w:r>
        <w:t>,</w:t>
      </w:r>
      <w:r w:rsidRPr="00560ED8">
        <w:t xml:space="preserve"> which are intended to be enrolled in the </w:t>
      </w:r>
      <w:r>
        <w:t>‘r</w:t>
      </w:r>
      <w:r w:rsidRPr="00560ED8">
        <w:t>obust</w:t>
      </w:r>
      <w:r w:rsidR="00520397">
        <w:t> </w:t>
      </w:r>
      <w:r>
        <w:t>SDA’</w:t>
      </w:r>
      <w:r w:rsidRPr="00560ED8">
        <w:t xml:space="preserve"> category.</w:t>
      </w:r>
      <w:r>
        <w:t xml:space="preserve"> These are being built by registered SDA providers including community housing providers and developers who are yet to engage o</w:t>
      </w:r>
      <w:r w:rsidR="00B635C4">
        <w:t xml:space="preserve">r register as an SDA provider. </w:t>
      </w:r>
    </w:p>
    <w:p w14:paraId="1671DDD6" w14:textId="63ECCE64" w:rsidR="00EC1D0A" w:rsidRPr="00560ED8" w:rsidRDefault="00EC1D0A" w:rsidP="00B635C4">
      <w:pPr>
        <w:spacing w:after="240"/>
      </w:pPr>
      <w:r>
        <w:t>The NDIA also undertakes regular market development activi</w:t>
      </w:r>
      <w:r w:rsidR="00520397">
        <w:t>ties, most recently focussed on </w:t>
      </w:r>
      <w:r>
        <w:t>supporting both state and territory governments and other SDA providers to consider and dev</w:t>
      </w:r>
      <w:r w:rsidR="00C93D39">
        <w:t>elop renewal programs of their e</w:t>
      </w:r>
      <w:r>
        <w:t>xisting SDA stock. In the majority this stock is ageing, and as more contemporary homes are established using the</w:t>
      </w:r>
      <w:r w:rsidR="00C93D39">
        <w:t xml:space="preserve"> SDA Design Standard, this need </w:t>
      </w:r>
      <w:r>
        <w:t xml:space="preserve">for redevelopment </w:t>
      </w:r>
      <w:r w:rsidR="00B635C4">
        <w:t>or refurbishment is increasing.</w:t>
      </w:r>
    </w:p>
    <w:p w14:paraId="1C2B6D26" w14:textId="760A5551" w:rsidR="00933225" w:rsidRPr="00B635C4" w:rsidRDefault="00EC1D0A" w:rsidP="00B635C4">
      <w:pPr>
        <w:spacing w:after="240"/>
      </w:pPr>
      <w:r>
        <w:t xml:space="preserve">The SDA Pricing Review was scheduled to take place through the first half of </w:t>
      </w:r>
      <w:r w:rsidR="00C93D39">
        <w:t>2023, however </w:t>
      </w:r>
      <w:r>
        <w:t>a decision has been made to commence this earlier to support investor and market confidence. Robust SDA pricing will be considered as part of the price review. Any changes from the review will only come into effect from 1 July 2023.</w:t>
      </w:r>
      <w:r w:rsidRPr="00560ED8">
        <w:t xml:space="preserve"> </w:t>
      </w:r>
    </w:p>
    <w:p w14:paraId="346A2079" w14:textId="3687B98E" w:rsidR="00373847" w:rsidRDefault="00560ED8" w:rsidP="00B635C4">
      <w:pPr>
        <w:spacing w:after="240"/>
      </w:pPr>
      <w:r w:rsidRPr="00560ED8">
        <w:t>The NDIA is continuously improving the str</w:t>
      </w:r>
      <w:r w:rsidR="00F217C1">
        <w:t>uctured data available on SDA</w:t>
      </w:r>
      <w:r w:rsidR="00C93D39">
        <w:t xml:space="preserve"> and continues to </w:t>
      </w:r>
      <w:r w:rsidR="00554B80">
        <w:t>work with states and territories to ensure housing and accommodation is available for NDIS participants, including ensuring participants have access to affordable, accessible</w:t>
      </w:r>
      <w:r w:rsidR="00C93D39">
        <w:t>, and </w:t>
      </w:r>
      <w:r w:rsidR="00554B80">
        <w:t>appropriate housing</w:t>
      </w:r>
      <w:r w:rsidR="00B635C4">
        <w:t xml:space="preserve">. </w:t>
      </w:r>
    </w:p>
    <w:p w14:paraId="7AB8BB20" w14:textId="5292AA66" w:rsidR="001A440E" w:rsidRPr="00D05750" w:rsidRDefault="00373847" w:rsidP="00D05750">
      <w:pPr>
        <w:spacing w:after="160" w:line="259" w:lineRule="auto"/>
      </w:pPr>
      <w:r>
        <w:br w:type="page"/>
      </w:r>
    </w:p>
    <w:tbl>
      <w:tblPr>
        <w:tblStyle w:val="TableGrid"/>
        <w:tblW w:w="0" w:type="auto"/>
        <w:tblLook w:val="04A0" w:firstRow="1" w:lastRow="0" w:firstColumn="1" w:lastColumn="0" w:noHBand="0" w:noVBand="1"/>
        <w:tblDescription w:val="Decorative"/>
      </w:tblPr>
      <w:tblGrid>
        <w:gridCol w:w="9016"/>
      </w:tblGrid>
      <w:tr w:rsidR="00D05750" w14:paraId="54FFF2EE" w14:textId="77777777" w:rsidTr="00D05750">
        <w:tc>
          <w:tcPr>
            <w:tcW w:w="9016" w:type="dxa"/>
          </w:tcPr>
          <w:p w14:paraId="1382CBA2" w14:textId="77777777" w:rsidR="00D05750" w:rsidRPr="00D05750" w:rsidRDefault="00D05750" w:rsidP="00D05750">
            <w:pPr>
              <w:spacing w:line="276" w:lineRule="auto"/>
              <w:jc w:val="both"/>
              <w:rPr>
                <w:b/>
              </w:rPr>
            </w:pPr>
            <w:r w:rsidRPr="00D05750">
              <w:rPr>
                <w:b/>
              </w:rPr>
              <w:lastRenderedPageBreak/>
              <w:t>Recommendation 72</w:t>
            </w:r>
          </w:p>
          <w:p w14:paraId="5314835A" w14:textId="1BCAC6F7" w:rsidR="00D05750" w:rsidRDefault="00D05750" w:rsidP="00D05750">
            <w:pPr>
              <w:rPr>
                <w:b/>
                <w:highlight w:val="yellow"/>
                <w:u w:val="single"/>
              </w:rPr>
            </w:pPr>
            <w:r w:rsidRPr="005F66E0">
              <w:t>The committee recommends the National Disability Insurance Agency work with state and territory governments to clarify the intersection of responsibilities</w:t>
            </w:r>
            <w:r w:rsidRPr="005F66E0">
              <w:rPr>
                <w:spacing w:val="-18"/>
              </w:rPr>
              <w:t xml:space="preserve"> </w:t>
            </w:r>
            <w:r w:rsidRPr="005F66E0">
              <w:t>in</w:t>
            </w:r>
            <w:r w:rsidRPr="005F66E0">
              <w:rPr>
                <w:spacing w:val="-17"/>
              </w:rPr>
              <w:t xml:space="preserve"> </w:t>
            </w:r>
            <w:r w:rsidRPr="005F66E0">
              <w:t>relation</w:t>
            </w:r>
            <w:r w:rsidRPr="005F66E0">
              <w:rPr>
                <w:spacing w:val="-17"/>
              </w:rPr>
              <w:t xml:space="preserve"> </w:t>
            </w:r>
            <w:r w:rsidRPr="005F66E0">
              <w:t>to</w:t>
            </w:r>
            <w:r w:rsidRPr="005F66E0">
              <w:rPr>
                <w:spacing w:val="-16"/>
              </w:rPr>
              <w:t xml:space="preserve"> </w:t>
            </w:r>
            <w:r w:rsidRPr="005F66E0">
              <w:t>housing</w:t>
            </w:r>
            <w:r w:rsidRPr="005F66E0">
              <w:rPr>
                <w:spacing w:val="-16"/>
              </w:rPr>
              <w:t xml:space="preserve"> </w:t>
            </w:r>
            <w:r w:rsidRPr="005F66E0">
              <w:t>for</w:t>
            </w:r>
            <w:r w:rsidRPr="005F66E0">
              <w:rPr>
                <w:spacing w:val="-17"/>
              </w:rPr>
              <w:t xml:space="preserve"> </w:t>
            </w:r>
            <w:r w:rsidRPr="005F66E0">
              <w:t>people</w:t>
            </w:r>
            <w:r w:rsidRPr="005F66E0">
              <w:rPr>
                <w:spacing w:val="-17"/>
              </w:rPr>
              <w:t xml:space="preserve"> </w:t>
            </w:r>
            <w:r w:rsidRPr="005F66E0">
              <w:t>with</w:t>
            </w:r>
            <w:r w:rsidRPr="005F66E0">
              <w:rPr>
                <w:spacing w:val="-17"/>
              </w:rPr>
              <w:t xml:space="preserve"> </w:t>
            </w:r>
            <w:r w:rsidRPr="005F66E0">
              <w:t>complex</w:t>
            </w:r>
            <w:r w:rsidRPr="005F66E0">
              <w:rPr>
                <w:spacing w:val="-14"/>
              </w:rPr>
              <w:t xml:space="preserve"> </w:t>
            </w:r>
            <w:r w:rsidRPr="005F66E0">
              <w:t>support</w:t>
            </w:r>
            <w:r w:rsidRPr="005F66E0">
              <w:rPr>
                <w:spacing w:val="-18"/>
              </w:rPr>
              <w:t xml:space="preserve"> </w:t>
            </w:r>
            <w:r w:rsidRPr="005F66E0">
              <w:t>needs.</w:t>
            </w:r>
          </w:p>
        </w:tc>
      </w:tr>
    </w:tbl>
    <w:p w14:paraId="12BC168D" w14:textId="77777777" w:rsidR="00D05750" w:rsidRPr="000847DE" w:rsidRDefault="00D05750" w:rsidP="00703052">
      <w:pPr>
        <w:rPr>
          <w:highlight w:val="yellow"/>
          <w:u w:val="single"/>
        </w:rPr>
      </w:pPr>
    </w:p>
    <w:p w14:paraId="2E48EA83" w14:textId="77777777" w:rsidR="0056306E" w:rsidRPr="0056306E" w:rsidRDefault="0056306E" w:rsidP="00703052">
      <w:pPr>
        <w:rPr>
          <w:b/>
        </w:rPr>
      </w:pPr>
      <w:r w:rsidRPr="0056306E">
        <w:rPr>
          <w:b/>
        </w:rPr>
        <w:t>Noted</w:t>
      </w:r>
    </w:p>
    <w:p w14:paraId="49CD3A2E" w14:textId="2743F4F0" w:rsidR="00703052" w:rsidRPr="000847DE" w:rsidRDefault="00703052" w:rsidP="000847DE">
      <w:pPr>
        <w:spacing w:after="240"/>
        <w:rPr>
          <w:sz w:val="22"/>
          <w:szCs w:val="22"/>
        </w:rPr>
      </w:pPr>
      <w:r w:rsidRPr="00703052">
        <w:t>The responsibilities of the Commonwealth and states and territories with respect to the provision of housing for people with disability are clearly outlined in the Applied Principles and Tables of Support (APTOS).</w:t>
      </w:r>
    </w:p>
    <w:p w14:paraId="1AD2AA45" w14:textId="6E3E3B1B" w:rsidR="00703052" w:rsidRPr="00703052" w:rsidRDefault="00703052" w:rsidP="000847DE">
      <w:pPr>
        <w:spacing w:after="240"/>
      </w:pPr>
      <w:r w:rsidRPr="00703052">
        <w:t>States and territories remain responsible for the provision of day-to-day housing and homelessness services, including providing social and affordable housing for people with disability who are not eligible for reasonable and necessary h</w:t>
      </w:r>
      <w:r w:rsidR="000847DE">
        <w:t>ousing supports under the NDIS.</w:t>
      </w:r>
    </w:p>
    <w:p w14:paraId="5DE8BB84" w14:textId="15E3EA7A" w:rsidR="00A6411B" w:rsidRPr="001A440E" w:rsidRDefault="00703052" w:rsidP="000847DE">
      <w:pPr>
        <w:spacing w:after="240"/>
        <w:rPr>
          <w:b/>
        </w:rPr>
      </w:pPr>
      <w:r w:rsidRPr="00703052">
        <w:t xml:space="preserve">The </w:t>
      </w:r>
      <w:r w:rsidR="00B62FDB">
        <w:t>Australian</w:t>
      </w:r>
      <w:r w:rsidR="00B62FDB" w:rsidRPr="00703052">
        <w:t xml:space="preserve"> </w:t>
      </w:r>
      <w:r w:rsidRPr="00703052">
        <w:t>Government will endeavour to ensure that the N</w:t>
      </w:r>
      <w:r w:rsidR="00B02B9E">
        <w:t>DIA</w:t>
      </w:r>
      <w:r w:rsidRPr="00703052">
        <w:t xml:space="preserve"> and state and territory agencies continue to engage effectively in line with these agreed responsibilities. </w:t>
      </w:r>
    </w:p>
    <w:p w14:paraId="0E6B0237" w14:textId="7512F682" w:rsidR="00560ED8" w:rsidRPr="000847DE" w:rsidRDefault="00362441" w:rsidP="00A12901">
      <w:pPr>
        <w:pStyle w:val="Heading2"/>
      </w:pPr>
      <w:r w:rsidRPr="00D05750">
        <w:t>Justice</w:t>
      </w:r>
    </w:p>
    <w:tbl>
      <w:tblPr>
        <w:tblStyle w:val="TableGrid"/>
        <w:tblW w:w="0" w:type="auto"/>
        <w:tblLook w:val="04A0" w:firstRow="1" w:lastRow="0" w:firstColumn="1" w:lastColumn="0" w:noHBand="0" w:noVBand="1"/>
        <w:tblDescription w:val="Decorative"/>
      </w:tblPr>
      <w:tblGrid>
        <w:gridCol w:w="9016"/>
      </w:tblGrid>
      <w:tr w:rsidR="00D05750" w14:paraId="0392076C" w14:textId="77777777" w:rsidTr="00D05750">
        <w:tc>
          <w:tcPr>
            <w:tcW w:w="9016" w:type="dxa"/>
          </w:tcPr>
          <w:p w14:paraId="6877E656" w14:textId="77777777" w:rsidR="00D05750" w:rsidRPr="00D05750" w:rsidRDefault="00D05750" w:rsidP="00D05750">
            <w:pPr>
              <w:spacing w:before="1" w:line="276" w:lineRule="auto"/>
              <w:jc w:val="both"/>
              <w:rPr>
                <w:b/>
              </w:rPr>
            </w:pPr>
            <w:r w:rsidRPr="00D05750">
              <w:rPr>
                <w:b/>
              </w:rPr>
              <w:t>Recommendation 73</w:t>
            </w:r>
          </w:p>
          <w:p w14:paraId="552EE848" w14:textId="5ACC551F" w:rsidR="00D05750" w:rsidRDefault="00D05750" w:rsidP="00D05750">
            <w:pPr>
              <w:rPr>
                <w:b/>
              </w:rPr>
            </w:pPr>
            <w:r w:rsidRPr="005F66E0">
              <w:t>The committee recommends that, as part of the inquiry into the National Disability Insurance Scheme proposed in Recommendation 6, the Complex Support Needs Pathway be reviewed to ensure its focus is on preventing (rather than responding to) escalating behaviours that may result in interactions with the justice</w:t>
            </w:r>
            <w:r w:rsidRPr="005F66E0">
              <w:rPr>
                <w:spacing w:val="-1"/>
              </w:rPr>
              <w:t xml:space="preserve"> </w:t>
            </w:r>
            <w:r w:rsidRPr="005F66E0">
              <w:t>system.</w:t>
            </w:r>
          </w:p>
        </w:tc>
      </w:tr>
    </w:tbl>
    <w:p w14:paraId="0A2A9FF3" w14:textId="77777777" w:rsidR="00D05750" w:rsidRPr="000847DE" w:rsidRDefault="00D05750" w:rsidP="008337E4"/>
    <w:p w14:paraId="63F9C188" w14:textId="3DB06A1C" w:rsidR="008337E4" w:rsidRDefault="00560ED8" w:rsidP="008337E4">
      <w:pPr>
        <w:rPr>
          <w:b/>
        </w:rPr>
      </w:pPr>
      <w:r>
        <w:rPr>
          <w:b/>
        </w:rPr>
        <w:t>Support</w:t>
      </w:r>
      <w:r w:rsidR="00330441">
        <w:rPr>
          <w:b/>
        </w:rPr>
        <w:t>ed</w:t>
      </w:r>
      <w:r w:rsidR="0084065D">
        <w:rPr>
          <w:b/>
        </w:rPr>
        <w:t xml:space="preserve"> </w:t>
      </w:r>
      <w:r w:rsidR="0084065D">
        <w:rPr>
          <w:b/>
          <w:bCs/>
        </w:rPr>
        <w:t>in principle</w:t>
      </w:r>
    </w:p>
    <w:p w14:paraId="62E6B713" w14:textId="5FAA6794" w:rsidR="00373847" w:rsidRDefault="00560ED8" w:rsidP="000847DE">
      <w:pPr>
        <w:spacing w:after="240"/>
      </w:pPr>
      <w:r w:rsidRPr="00560ED8">
        <w:t xml:space="preserve">The </w:t>
      </w:r>
      <w:r w:rsidR="00B62FDB">
        <w:t xml:space="preserve">Australian </w:t>
      </w:r>
      <w:r w:rsidR="009E79EF">
        <w:t>G</w:t>
      </w:r>
      <w:r w:rsidRPr="00560ED8">
        <w:t xml:space="preserve">overnment </w:t>
      </w:r>
      <w:r w:rsidRPr="009E79EF">
        <w:rPr>
          <w:bCs/>
        </w:rPr>
        <w:t>supports</w:t>
      </w:r>
      <w:r w:rsidRPr="009E79EF">
        <w:t xml:space="preserve"> this recommendation</w:t>
      </w:r>
      <w:r w:rsidR="005A04D8">
        <w:t xml:space="preserve"> in principle</w:t>
      </w:r>
      <w:r w:rsidR="00554B80">
        <w:t>.</w:t>
      </w:r>
    </w:p>
    <w:p w14:paraId="33E3CF58" w14:textId="118EDFB4" w:rsidR="0084065D" w:rsidRDefault="0084065D" w:rsidP="000847DE">
      <w:pPr>
        <w:spacing w:after="240"/>
      </w:pPr>
      <w:r w:rsidRPr="00302ED4">
        <w:t>The Complex Support Needs (CSN) pathway identifies personal and situational factors that may require early intervention supports to prevent a NDIS participant fr</w:t>
      </w:r>
      <w:r w:rsidR="00BF6447">
        <w:t xml:space="preserve">om entering the justice system. </w:t>
      </w:r>
      <w:r w:rsidRPr="00302ED4">
        <w:t>These supports i</w:t>
      </w:r>
      <w:r w:rsidR="00BF6447">
        <w:t>nclude but are not limited to: s</w:t>
      </w:r>
      <w:r w:rsidRPr="00302ED4">
        <w:t>pecialist behaviour intervention and training, increased ratio of support, multi-disciplinary therapy teams and sp</w:t>
      </w:r>
      <w:r w:rsidR="00BF6447">
        <w:t xml:space="preserve">ecialist support coordination. </w:t>
      </w:r>
      <w:r w:rsidRPr="00302ED4">
        <w:t xml:space="preserve">These types of supports can reduce </w:t>
      </w:r>
      <w:r w:rsidR="00BF6447">
        <w:t>the likelihood of behaviours of </w:t>
      </w:r>
      <w:r w:rsidRPr="00302ED4">
        <w:t xml:space="preserve">concern </w:t>
      </w:r>
      <w:r>
        <w:t>and can support the participant to access other mainstream services and support.</w:t>
      </w:r>
    </w:p>
    <w:p w14:paraId="2D715C5A" w14:textId="7AE864E5" w:rsidR="0084065D" w:rsidRDefault="0084065D" w:rsidP="000847DE">
      <w:pPr>
        <w:spacing w:after="240"/>
      </w:pPr>
      <w:r w:rsidRPr="00302ED4">
        <w:t xml:space="preserve">The NDIA is </w:t>
      </w:r>
      <w:r w:rsidR="00554B80">
        <w:t>continuously improving</w:t>
      </w:r>
      <w:r w:rsidRPr="00302ED4">
        <w:t xml:space="preserve"> the CSN pathway to </w:t>
      </w:r>
      <w:r w:rsidR="00BF6447">
        <w:t>ensure a stronger focus on high </w:t>
      </w:r>
      <w:r w:rsidRPr="00302ED4">
        <w:t>risk, vulnerable participants with proactive monitoring and intervention as required. This includes a stronger focus on supporting participants who are at risk, or current</w:t>
      </w:r>
      <w:r w:rsidR="00BF6447">
        <w:t>ly</w:t>
      </w:r>
      <w:r w:rsidR="000847DE">
        <w:t xml:space="preserve"> within, the justice system. </w:t>
      </w:r>
    </w:p>
    <w:p w14:paraId="5A816BB2" w14:textId="482362EA" w:rsidR="00373847" w:rsidRDefault="0084065D" w:rsidP="000847DE">
      <w:pPr>
        <w:spacing w:after="240"/>
      </w:pPr>
      <w:r w:rsidRPr="00302ED4">
        <w:t>Additionally, NDIA Justice Liaison Officers are working col</w:t>
      </w:r>
      <w:r w:rsidR="00BF6447">
        <w:t>laboratively with Youth Justice s</w:t>
      </w:r>
      <w:r w:rsidRPr="00302ED4">
        <w:t>ta</w:t>
      </w:r>
      <w:r w:rsidR="00BF6447">
        <w:t>te and t</w:t>
      </w:r>
      <w:r w:rsidRPr="00302ED4">
        <w:t xml:space="preserve">erritory representatives to support participants </w:t>
      </w:r>
      <w:r w:rsidR="00BF6447">
        <w:t>or prospective participants in d</w:t>
      </w:r>
      <w:r w:rsidRPr="00302ED4">
        <w:t>iversion</w:t>
      </w:r>
      <w:r w:rsidR="00BF6447">
        <w:t>ary</w:t>
      </w:r>
      <w:r w:rsidRPr="00302ED4">
        <w:t xml:space="preserve"> programs from entering the justice system.</w:t>
      </w:r>
    </w:p>
    <w:p w14:paraId="5C440EDD" w14:textId="2B274466" w:rsidR="008337E4" w:rsidRPr="00E17020" w:rsidRDefault="00373847" w:rsidP="00E17020">
      <w:pPr>
        <w:spacing w:after="160" w:line="259" w:lineRule="auto"/>
      </w:pPr>
      <w:r>
        <w:br w:type="page"/>
      </w:r>
    </w:p>
    <w:tbl>
      <w:tblPr>
        <w:tblStyle w:val="TableGrid"/>
        <w:tblW w:w="0" w:type="auto"/>
        <w:tblLook w:val="04A0" w:firstRow="1" w:lastRow="0" w:firstColumn="1" w:lastColumn="0" w:noHBand="0" w:noVBand="1"/>
        <w:tblDescription w:val="Decorative"/>
      </w:tblPr>
      <w:tblGrid>
        <w:gridCol w:w="9016"/>
      </w:tblGrid>
      <w:tr w:rsidR="00E17020" w14:paraId="4BE5CF7B" w14:textId="77777777" w:rsidTr="00E17020">
        <w:tc>
          <w:tcPr>
            <w:tcW w:w="9016" w:type="dxa"/>
          </w:tcPr>
          <w:p w14:paraId="270D24D3" w14:textId="77777777" w:rsidR="00E17020" w:rsidRPr="00E17020" w:rsidRDefault="00E17020" w:rsidP="00E17020">
            <w:pPr>
              <w:spacing w:before="1"/>
              <w:jc w:val="both"/>
              <w:rPr>
                <w:b/>
              </w:rPr>
            </w:pPr>
            <w:r w:rsidRPr="00E17020">
              <w:rPr>
                <w:b/>
              </w:rPr>
              <w:lastRenderedPageBreak/>
              <w:t>Recommendation 74</w:t>
            </w:r>
          </w:p>
          <w:p w14:paraId="4171F58C" w14:textId="1CF1DA17" w:rsidR="00E17020" w:rsidRPr="00E17020" w:rsidRDefault="00E17020" w:rsidP="00E17020">
            <w:pPr>
              <w:widowControl w:val="0"/>
              <w:tabs>
                <w:tab w:val="left" w:pos="0"/>
              </w:tabs>
              <w:autoSpaceDE w:val="0"/>
              <w:autoSpaceDN w:val="0"/>
              <w:spacing w:before="60"/>
              <w:ind w:right="717"/>
            </w:pPr>
            <w:r w:rsidRPr="00704C66">
              <w:t>The</w:t>
            </w:r>
            <w:r w:rsidRPr="00704C66">
              <w:rPr>
                <w:spacing w:val="-17"/>
              </w:rPr>
              <w:t xml:space="preserve"> </w:t>
            </w:r>
            <w:r w:rsidRPr="00704C66">
              <w:t>committee</w:t>
            </w:r>
            <w:r w:rsidRPr="00704C66">
              <w:rPr>
                <w:spacing w:val="-17"/>
              </w:rPr>
              <w:t xml:space="preserve"> </w:t>
            </w:r>
            <w:r w:rsidRPr="00704C66">
              <w:t>recommends</w:t>
            </w:r>
            <w:r w:rsidRPr="00704C66">
              <w:rPr>
                <w:spacing w:val="-18"/>
              </w:rPr>
              <w:t xml:space="preserve"> </w:t>
            </w:r>
            <w:r w:rsidRPr="00704C66">
              <w:t>that</w:t>
            </w:r>
            <w:r w:rsidRPr="00704C66">
              <w:rPr>
                <w:spacing w:val="-15"/>
              </w:rPr>
              <w:t xml:space="preserve"> </w:t>
            </w:r>
            <w:r w:rsidRPr="00704C66">
              <w:t>the Australian Government work</w:t>
            </w:r>
            <w:r w:rsidRPr="00704C66">
              <w:rPr>
                <w:spacing w:val="-17"/>
              </w:rPr>
              <w:t xml:space="preserve"> </w:t>
            </w:r>
            <w:r w:rsidRPr="00704C66">
              <w:t>with</w:t>
            </w:r>
            <w:r w:rsidRPr="00704C66">
              <w:rPr>
                <w:spacing w:val="-15"/>
              </w:rPr>
              <w:t xml:space="preserve"> </w:t>
            </w:r>
            <w:r w:rsidRPr="00704C66">
              <w:t>states and territory governments and relevant stakeholders to investigate options for</w:t>
            </w:r>
            <w:r w:rsidRPr="00704C66">
              <w:rPr>
                <w:spacing w:val="-15"/>
              </w:rPr>
              <w:t xml:space="preserve"> </w:t>
            </w:r>
            <w:r w:rsidRPr="00704C66">
              <w:t>diversionary</w:t>
            </w:r>
            <w:r w:rsidRPr="00704C66">
              <w:rPr>
                <w:spacing w:val="-15"/>
              </w:rPr>
              <w:t xml:space="preserve"> </w:t>
            </w:r>
            <w:r w:rsidRPr="00704C66">
              <w:t>programs,</w:t>
            </w:r>
            <w:r w:rsidRPr="00704C66">
              <w:rPr>
                <w:spacing w:val="-15"/>
              </w:rPr>
              <w:t xml:space="preserve"> </w:t>
            </w:r>
            <w:r w:rsidRPr="00704C66">
              <w:t>rather</w:t>
            </w:r>
            <w:r w:rsidRPr="00704C66">
              <w:rPr>
                <w:spacing w:val="-15"/>
              </w:rPr>
              <w:t xml:space="preserve"> </w:t>
            </w:r>
            <w:r w:rsidRPr="00704C66">
              <w:t>that</w:t>
            </w:r>
            <w:r w:rsidRPr="00704C66">
              <w:rPr>
                <w:spacing w:val="-14"/>
              </w:rPr>
              <w:t xml:space="preserve"> </w:t>
            </w:r>
            <w:r w:rsidRPr="00704C66">
              <w:t>custodial</w:t>
            </w:r>
            <w:r w:rsidRPr="00704C66">
              <w:rPr>
                <w:spacing w:val="-16"/>
              </w:rPr>
              <w:t xml:space="preserve"> </w:t>
            </w:r>
            <w:r w:rsidRPr="00704C66">
              <w:t>sentences,</w:t>
            </w:r>
            <w:r w:rsidRPr="00704C66">
              <w:rPr>
                <w:spacing w:val="-15"/>
              </w:rPr>
              <w:t xml:space="preserve"> </w:t>
            </w:r>
            <w:r w:rsidRPr="00704C66">
              <w:t>where</w:t>
            </w:r>
            <w:r w:rsidRPr="00704C66">
              <w:rPr>
                <w:spacing w:val="-15"/>
              </w:rPr>
              <w:t xml:space="preserve"> </w:t>
            </w:r>
            <w:r w:rsidRPr="00704C66">
              <w:t>appropriate.</w:t>
            </w:r>
          </w:p>
        </w:tc>
      </w:tr>
    </w:tbl>
    <w:p w14:paraId="48D6573A" w14:textId="77777777" w:rsidR="00E17020" w:rsidRPr="00C85F71" w:rsidRDefault="00E17020" w:rsidP="008337E4">
      <w:pPr>
        <w:rPr>
          <w:highlight w:val="yellow"/>
        </w:rPr>
      </w:pPr>
    </w:p>
    <w:p w14:paraId="0D717080" w14:textId="4DB589D7" w:rsidR="003B1A8E" w:rsidRPr="00704C66" w:rsidRDefault="00704C66" w:rsidP="008337E4">
      <w:pPr>
        <w:rPr>
          <w:b/>
        </w:rPr>
      </w:pPr>
      <w:r w:rsidRPr="00704C66">
        <w:rPr>
          <w:b/>
        </w:rPr>
        <w:t>Supported in principle</w:t>
      </w:r>
    </w:p>
    <w:p w14:paraId="089251BC" w14:textId="11411B91" w:rsidR="004511DB" w:rsidRDefault="00704C66" w:rsidP="00C85F71">
      <w:pPr>
        <w:spacing w:after="240"/>
      </w:pPr>
      <w:r w:rsidRPr="00704C66">
        <w:t>Noting that diversionary programs are largely a matter for state and territory governments, the Australian Government supports in principle the improvement of diversionary pathways to ensure they deliver better outcomes for justice-engaged autistic people.</w:t>
      </w:r>
    </w:p>
    <w:tbl>
      <w:tblPr>
        <w:tblStyle w:val="TableGrid"/>
        <w:tblW w:w="0" w:type="auto"/>
        <w:tblLook w:val="04A0" w:firstRow="1" w:lastRow="0" w:firstColumn="1" w:lastColumn="0" w:noHBand="0" w:noVBand="1"/>
        <w:tblDescription w:val="Decorative"/>
      </w:tblPr>
      <w:tblGrid>
        <w:gridCol w:w="9016"/>
      </w:tblGrid>
      <w:tr w:rsidR="004511DB" w14:paraId="11C234E1" w14:textId="77777777" w:rsidTr="004511DB">
        <w:tc>
          <w:tcPr>
            <w:tcW w:w="9016" w:type="dxa"/>
          </w:tcPr>
          <w:p w14:paraId="1E4395B6" w14:textId="77777777" w:rsidR="004511DB" w:rsidRPr="004511DB" w:rsidRDefault="004511DB" w:rsidP="004511DB">
            <w:pPr>
              <w:spacing w:line="276" w:lineRule="auto"/>
              <w:jc w:val="both"/>
              <w:rPr>
                <w:b/>
              </w:rPr>
            </w:pPr>
            <w:r w:rsidRPr="004511DB">
              <w:rPr>
                <w:b/>
              </w:rPr>
              <w:t>Recommendation 75</w:t>
            </w:r>
          </w:p>
          <w:p w14:paraId="7C9596AC" w14:textId="21D33319" w:rsidR="004511DB" w:rsidRDefault="004511DB" w:rsidP="004511DB">
            <w:r w:rsidRPr="005F66E0">
              <w:t>The committee recommends embedding autism as part of initial education courses</w:t>
            </w:r>
            <w:r w:rsidRPr="005F66E0">
              <w:rPr>
                <w:spacing w:val="16"/>
              </w:rPr>
              <w:t xml:space="preserve"> </w:t>
            </w:r>
            <w:r w:rsidRPr="005F66E0">
              <w:t>and</w:t>
            </w:r>
            <w:r w:rsidRPr="005F66E0">
              <w:rPr>
                <w:spacing w:val="18"/>
              </w:rPr>
              <w:t xml:space="preserve"> </w:t>
            </w:r>
            <w:r w:rsidRPr="005F66E0">
              <w:t>ongoing</w:t>
            </w:r>
            <w:r w:rsidRPr="005F66E0">
              <w:rPr>
                <w:spacing w:val="18"/>
              </w:rPr>
              <w:t xml:space="preserve"> </w:t>
            </w:r>
            <w:r w:rsidRPr="005F66E0">
              <w:t>professional</w:t>
            </w:r>
            <w:r w:rsidRPr="005F66E0">
              <w:rPr>
                <w:spacing w:val="17"/>
              </w:rPr>
              <w:t xml:space="preserve"> </w:t>
            </w:r>
            <w:r w:rsidRPr="005F66E0">
              <w:t>development</w:t>
            </w:r>
            <w:r w:rsidRPr="005F66E0">
              <w:rPr>
                <w:spacing w:val="16"/>
              </w:rPr>
              <w:t xml:space="preserve"> </w:t>
            </w:r>
            <w:r w:rsidRPr="005F66E0">
              <w:t>requirements</w:t>
            </w:r>
            <w:r w:rsidRPr="005F66E0">
              <w:rPr>
                <w:spacing w:val="17"/>
              </w:rPr>
              <w:t xml:space="preserve"> </w:t>
            </w:r>
            <w:r w:rsidRPr="005F66E0">
              <w:t>for</w:t>
            </w:r>
            <w:r w:rsidRPr="005F66E0">
              <w:rPr>
                <w:spacing w:val="17"/>
              </w:rPr>
              <w:t xml:space="preserve"> </w:t>
            </w:r>
            <w:r w:rsidRPr="005F66E0">
              <w:t>all personnel involved in the justice system, including police, lawyers, and court staff.</w:t>
            </w:r>
          </w:p>
        </w:tc>
      </w:tr>
    </w:tbl>
    <w:p w14:paraId="12F24057" w14:textId="65E3140E" w:rsidR="00FA49F1" w:rsidRPr="00C85F71" w:rsidRDefault="00FA49F1" w:rsidP="008337E4"/>
    <w:p w14:paraId="7466B0C7" w14:textId="6DD8C4AE" w:rsidR="00330441" w:rsidRPr="007C0447" w:rsidRDefault="00330441" w:rsidP="008337E4">
      <w:pPr>
        <w:rPr>
          <w:b/>
        </w:rPr>
      </w:pPr>
      <w:r w:rsidRPr="007C0447">
        <w:rPr>
          <w:b/>
        </w:rPr>
        <w:t>Supported in principle</w:t>
      </w:r>
    </w:p>
    <w:p w14:paraId="23451B22" w14:textId="44FD0255" w:rsidR="007C0447" w:rsidRDefault="001520F4" w:rsidP="00C85F71">
      <w:pPr>
        <w:spacing w:after="240"/>
      </w:pPr>
      <w:r>
        <w:t>Although j</w:t>
      </w:r>
      <w:r w:rsidR="007C0447" w:rsidRPr="007C0447">
        <w:t>udicial</w:t>
      </w:r>
      <w:r w:rsidR="007C0447" w:rsidRPr="00C37850">
        <w:t xml:space="preserve"> education is voluntary in Australia, the need for and benefits of ongoing professional development for judicial officers is widely accepted. Consistent with the independence of the judiciary from the executive, it is a matter for each </w:t>
      </w:r>
      <w:r>
        <w:t>f</w:t>
      </w:r>
      <w:r w:rsidR="007C0447" w:rsidRPr="00C37850">
        <w:t>ederal court to determine its own practices</w:t>
      </w:r>
      <w:r w:rsidR="007C0447">
        <w:t>. F</w:t>
      </w:r>
      <w:r w:rsidR="007C0447" w:rsidRPr="00C37850">
        <w:t xml:space="preserve">or example, </w:t>
      </w:r>
      <w:r>
        <w:t xml:space="preserve">this is the case </w:t>
      </w:r>
      <w:r w:rsidR="007C0447" w:rsidRPr="00C37850">
        <w:t xml:space="preserve">with respect to oversight of internal programs of continued judicial education and development, internal training for court staff and promoting any education programs offered by external providers. </w:t>
      </w:r>
    </w:p>
    <w:p w14:paraId="3554E5B8" w14:textId="236D6DEE" w:rsidR="00373847" w:rsidRDefault="007C0447" w:rsidP="00C85F71">
      <w:pPr>
        <w:spacing w:after="240"/>
      </w:pPr>
      <w:r w:rsidRPr="00C37850">
        <w:t xml:space="preserve">The Federal Circuit and Family Court of </w:t>
      </w:r>
      <w:r>
        <w:t xml:space="preserve">Australia currently provides </w:t>
      </w:r>
      <w:r w:rsidRPr="00C37850">
        <w:t>online disability awareness training for court staff</w:t>
      </w:r>
      <w:r>
        <w:t xml:space="preserve">, </w:t>
      </w:r>
      <w:r w:rsidR="001520F4">
        <w:t xml:space="preserve">through </w:t>
      </w:r>
      <w:r>
        <w:t>the ‘Let’s Talk Access to Justice for People with Disability’ eLearning package</w:t>
      </w:r>
      <w:r w:rsidR="005A04D8">
        <w:t>.</w:t>
      </w:r>
      <w:r w:rsidR="00302ED4">
        <w:t xml:space="preserve"> </w:t>
      </w:r>
      <w:r w:rsidR="001520F4">
        <w:t>This</w:t>
      </w:r>
      <w:r w:rsidRPr="00C37850">
        <w:t xml:space="preserve"> is designed to assist participants to develop the knowledge, skills and awareness to work inclusively and effectively with people with disabilities</w:t>
      </w:r>
      <w:r w:rsidR="00C85F71">
        <w:t xml:space="preserve">. </w:t>
      </w:r>
    </w:p>
    <w:p w14:paraId="723F0580" w14:textId="29A2D469" w:rsidR="007C0447" w:rsidRPr="00C37850" w:rsidRDefault="007C0447" w:rsidP="00C85F71">
      <w:pPr>
        <w:spacing w:after="240"/>
      </w:pPr>
      <w:r w:rsidRPr="00C37850">
        <w:t>In 2020, a professional development session on the topic of adults and children with intellectual and developmental disabilities was delivered to the then Federal Circu</w:t>
      </w:r>
      <w:r>
        <w:t xml:space="preserve">it Court’s Court Child Experts, </w:t>
      </w:r>
      <w:r w:rsidRPr="00C37850">
        <w:t>with the session also bein</w:t>
      </w:r>
      <w:r>
        <w:t>g open to judges and registrars</w:t>
      </w:r>
      <w:r w:rsidRPr="00C37850">
        <w:t>. A specific session in relation to autism is currently being explored in</w:t>
      </w:r>
      <w:r w:rsidR="00EC7E03">
        <w:t xml:space="preserve"> the Federal Circuit and Family </w:t>
      </w:r>
      <w:r w:rsidRPr="00C37850">
        <w:t>Court of Australia, reflecting the increased awareness and diagnose</w:t>
      </w:r>
      <w:r>
        <w:t>s of autism in the community.</w:t>
      </w:r>
    </w:p>
    <w:p w14:paraId="2FE164B2" w14:textId="54CC27EA" w:rsidR="007C0447" w:rsidRPr="00C37850" w:rsidRDefault="007C0447" w:rsidP="00C85F71">
      <w:pPr>
        <w:spacing w:after="240"/>
      </w:pPr>
      <w:r w:rsidRPr="00C37850">
        <w:t>The Australian Government also contributes funding to the National Judicial College of Australia (NJCA) and the Australasian Institute of Judic</w:t>
      </w:r>
      <w:r w:rsidR="00EC7E03">
        <w:t>ial Administration (AIJA). NJCA </w:t>
      </w:r>
      <w:r w:rsidRPr="00C37850">
        <w:t>supports the provision of education and training progr</w:t>
      </w:r>
      <w:r w:rsidR="00EC7E03">
        <w:t>ams for judicial officers. AIJA </w:t>
      </w:r>
      <w:r w:rsidRPr="00C37850">
        <w:t>develops and provides educational programs for judicial officers, court administrators and members of the legal profession in relation to court administ</w:t>
      </w:r>
      <w:r>
        <w:t>ration and judicial systems. I</w:t>
      </w:r>
      <w:r w:rsidRPr="00C37850">
        <w:t xml:space="preserve">t is open to </w:t>
      </w:r>
      <w:r w:rsidR="001520F4">
        <w:t>f</w:t>
      </w:r>
      <w:r w:rsidRPr="00C37850">
        <w:t>ederal judges to participate in external judicial education cour</w:t>
      </w:r>
      <w:r w:rsidR="00EC7E03">
        <w:t>ses offered by </w:t>
      </w:r>
      <w:r w:rsidRPr="00C37850">
        <w:t>NJCA and AIJA.</w:t>
      </w:r>
    </w:p>
    <w:p w14:paraId="74E0D268" w14:textId="26BFB344" w:rsidR="007C0447" w:rsidRDefault="007C0447" w:rsidP="00C85F71">
      <w:pPr>
        <w:spacing w:after="240"/>
      </w:pPr>
      <w:r w:rsidRPr="00C37850">
        <w:t xml:space="preserve">The </w:t>
      </w:r>
      <w:r>
        <w:t>Australian</w:t>
      </w:r>
      <w:r w:rsidRPr="00C37850" w:rsidDel="00F134B8">
        <w:t xml:space="preserve"> </w:t>
      </w:r>
      <w:r w:rsidRPr="00C37850">
        <w:t xml:space="preserve">Government will engage with NJCA, AIJA and the </w:t>
      </w:r>
      <w:r w:rsidR="001520F4">
        <w:t>f</w:t>
      </w:r>
      <w:r w:rsidR="00EC7E03">
        <w:t>ederal courts to </w:t>
      </w:r>
      <w:r w:rsidRPr="00C37850">
        <w:t xml:space="preserve">encourage their consideration of the </w:t>
      </w:r>
      <w:r w:rsidR="00EC7E03">
        <w:t>committee’s</w:t>
      </w:r>
      <w:r>
        <w:t xml:space="preserve"> final r</w:t>
      </w:r>
      <w:r w:rsidRPr="00C37850">
        <w:t xml:space="preserve">eport and this recommendation. </w:t>
      </w:r>
    </w:p>
    <w:p w14:paraId="2FDAD312" w14:textId="2072717C" w:rsidR="007C0447" w:rsidRDefault="00E719C4" w:rsidP="00E719C4">
      <w:pPr>
        <w:spacing w:after="160" w:line="259" w:lineRule="auto"/>
        <w:rPr>
          <w:b/>
          <w:u w:val="single"/>
        </w:rPr>
      </w:pPr>
      <w:r>
        <w:rPr>
          <w:b/>
          <w:u w:val="single"/>
        </w:rPr>
        <w:br w:type="page"/>
      </w:r>
    </w:p>
    <w:p w14:paraId="63C621B9" w14:textId="53D63279" w:rsidR="00FA49F1" w:rsidRPr="00FA49F1" w:rsidRDefault="00FA49F1" w:rsidP="00C85F71">
      <w:pPr>
        <w:spacing w:after="240"/>
      </w:pPr>
      <w:r w:rsidRPr="00FA49F1">
        <w:lastRenderedPageBreak/>
        <w:t>The C</w:t>
      </w:r>
      <w:r w:rsidR="0039235C">
        <w:t xml:space="preserve">ommonwealth </w:t>
      </w:r>
      <w:r w:rsidRPr="00FA49F1">
        <w:t>D</w:t>
      </w:r>
      <w:r w:rsidR="0039235C">
        <w:t xml:space="preserve">irector of </w:t>
      </w:r>
      <w:r w:rsidRPr="00FA49F1">
        <w:t>P</w:t>
      </w:r>
      <w:r w:rsidR="0039235C">
        <w:t xml:space="preserve">ublic </w:t>
      </w:r>
      <w:r w:rsidRPr="00FA49F1">
        <w:t>P</w:t>
      </w:r>
      <w:r w:rsidR="0039235C">
        <w:t>rosecutions (CDPP)</w:t>
      </w:r>
      <w:r w:rsidRPr="00FA49F1">
        <w:t xml:space="preserve"> Witness Assistance Service (WAS) provides information and support to victims of crime and vulnerable witnesses </w:t>
      </w:r>
      <w:r w:rsidRPr="00EC7E03">
        <w:t>including:</w:t>
      </w:r>
      <w:r w:rsidRPr="00FA49F1">
        <w:t xml:space="preserve"> </w:t>
      </w:r>
    </w:p>
    <w:p w14:paraId="43089A29" w14:textId="77777777" w:rsidR="00FA49F1" w:rsidRPr="00EC7E03" w:rsidRDefault="00FA49F1" w:rsidP="00C85F71">
      <w:pPr>
        <w:pStyle w:val="ListParagraph"/>
        <w:numPr>
          <w:ilvl w:val="0"/>
          <w:numId w:val="7"/>
        </w:numPr>
        <w:spacing w:after="0" w:line="240" w:lineRule="auto"/>
        <w:ind w:left="714" w:hanging="357"/>
        <w:rPr>
          <w:rFonts w:ascii="Times New Roman" w:hAnsi="Times New Roman" w:cs="Times New Roman"/>
          <w:sz w:val="24"/>
          <w:szCs w:val="24"/>
        </w:rPr>
      </w:pPr>
      <w:r w:rsidRPr="00EC7E03">
        <w:rPr>
          <w:rFonts w:ascii="Times New Roman" w:hAnsi="Times New Roman" w:cs="Times New Roman"/>
          <w:sz w:val="24"/>
          <w:szCs w:val="24"/>
        </w:rPr>
        <w:t xml:space="preserve">Information concerning the legal process and court procedures; </w:t>
      </w:r>
    </w:p>
    <w:p w14:paraId="3C0EFC93" w14:textId="77777777" w:rsidR="00FA49F1" w:rsidRPr="00EC7E03" w:rsidRDefault="00FA49F1" w:rsidP="00C85F71">
      <w:pPr>
        <w:pStyle w:val="ListParagraph"/>
        <w:numPr>
          <w:ilvl w:val="0"/>
          <w:numId w:val="7"/>
        </w:numPr>
        <w:spacing w:after="0" w:line="240" w:lineRule="auto"/>
        <w:ind w:left="714" w:hanging="357"/>
        <w:rPr>
          <w:rFonts w:ascii="Times New Roman" w:hAnsi="Times New Roman" w:cs="Times New Roman"/>
          <w:sz w:val="24"/>
          <w:szCs w:val="24"/>
        </w:rPr>
      </w:pPr>
      <w:r w:rsidRPr="00EC7E03">
        <w:rPr>
          <w:rFonts w:ascii="Times New Roman" w:hAnsi="Times New Roman" w:cs="Times New Roman"/>
          <w:sz w:val="24"/>
          <w:szCs w:val="24"/>
        </w:rPr>
        <w:t xml:space="preserve">A liaison role between victims/witnesses and CDPP legal staff; </w:t>
      </w:r>
    </w:p>
    <w:p w14:paraId="25FC598A" w14:textId="77777777" w:rsidR="00FA49F1" w:rsidRPr="00EC7E03" w:rsidRDefault="00FA49F1" w:rsidP="00EC7E03">
      <w:pPr>
        <w:pStyle w:val="ListParagraph"/>
        <w:numPr>
          <w:ilvl w:val="0"/>
          <w:numId w:val="7"/>
        </w:numPr>
        <w:spacing w:after="0" w:line="240" w:lineRule="auto"/>
        <w:ind w:left="714" w:hanging="357"/>
        <w:rPr>
          <w:rFonts w:ascii="Times New Roman" w:hAnsi="Times New Roman" w:cs="Times New Roman"/>
          <w:sz w:val="24"/>
          <w:szCs w:val="24"/>
        </w:rPr>
      </w:pPr>
      <w:r w:rsidRPr="00EC7E03">
        <w:rPr>
          <w:rFonts w:ascii="Times New Roman" w:hAnsi="Times New Roman" w:cs="Times New Roman"/>
          <w:sz w:val="24"/>
          <w:szCs w:val="24"/>
        </w:rPr>
        <w:t xml:space="preserve">Updates in relation to key developments concerning the case; </w:t>
      </w:r>
    </w:p>
    <w:p w14:paraId="5D03B735" w14:textId="77777777" w:rsidR="00FA49F1" w:rsidRPr="00EC7E03" w:rsidRDefault="00FA49F1" w:rsidP="00EC7E03">
      <w:pPr>
        <w:pStyle w:val="ListParagraph"/>
        <w:numPr>
          <w:ilvl w:val="0"/>
          <w:numId w:val="7"/>
        </w:numPr>
        <w:spacing w:after="0" w:line="240" w:lineRule="auto"/>
        <w:ind w:left="714" w:hanging="357"/>
        <w:rPr>
          <w:rFonts w:ascii="Times New Roman" w:hAnsi="Times New Roman" w:cs="Times New Roman"/>
          <w:sz w:val="24"/>
          <w:szCs w:val="24"/>
        </w:rPr>
      </w:pPr>
      <w:r w:rsidRPr="00EC7E03">
        <w:rPr>
          <w:rFonts w:ascii="Times New Roman" w:hAnsi="Times New Roman" w:cs="Times New Roman"/>
          <w:sz w:val="24"/>
          <w:szCs w:val="24"/>
        </w:rPr>
        <w:t xml:space="preserve">A court familiarisation tour; </w:t>
      </w:r>
    </w:p>
    <w:p w14:paraId="72984F4E" w14:textId="33C7554E" w:rsidR="00FA49F1" w:rsidRPr="00EC7E03" w:rsidRDefault="00FA49F1" w:rsidP="00EC7E03">
      <w:pPr>
        <w:pStyle w:val="ListParagraph"/>
        <w:numPr>
          <w:ilvl w:val="0"/>
          <w:numId w:val="7"/>
        </w:numPr>
        <w:spacing w:after="0" w:line="240" w:lineRule="auto"/>
        <w:ind w:left="714" w:hanging="357"/>
        <w:rPr>
          <w:rFonts w:ascii="Times New Roman" w:hAnsi="Times New Roman" w:cs="Times New Roman"/>
          <w:sz w:val="24"/>
          <w:szCs w:val="24"/>
        </w:rPr>
      </w:pPr>
      <w:r w:rsidRPr="00EC7E03">
        <w:rPr>
          <w:rFonts w:ascii="Times New Roman" w:hAnsi="Times New Roman" w:cs="Times New Roman"/>
          <w:sz w:val="24"/>
          <w:szCs w:val="24"/>
        </w:rPr>
        <w:t>Referral to counselling and other services in the community (for a victim who</w:t>
      </w:r>
      <w:r w:rsidR="00330441" w:rsidRPr="00EC7E03">
        <w:rPr>
          <w:rFonts w:ascii="Times New Roman" w:hAnsi="Times New Roman" w:cs="Times New Roman"/>
          <w:sz w:val="24"/>
          <w:szCs w:val="24"/>
        </w:rPr>
        <w:t xml:space="preserve"> has been diagnosed with autism, </w:t>
      </w:r>
      <w:r w:rsidRPr="00EC7E03">
        <w:rPr>
          <w:rFonts w:ascii="Times New Roman" w:hAnsi="Times New Roman" w:cs="Times New Roman"/>
          <w:sz w:val="24"/>
          <w:szCs w:val="24"/>
        </w:rPr>
        <w:t>attempts would be made to identify speci</w:t>
      </w:r>
      <w:r w:rsidR="00794FE0">
        <w:rPr>
          <w:rFonts w:ascii="Times New Roman" w:hAnsi="Times New Roman" w:cs="Times New Roman"/>
          <w:sz w:val="24"/>
          <w:szCs w:val="24"/>
        </w:rPr>
        <w:t>fic services if </w:t>
      </w:r>
      <w:r w:rsidRPr="00EC7E03">
        <w:rPr>
          <w:rFonts w:ascii="Times New Roman" w:hAnsi="Times New Roman" w:cs="Times New Roman"/>
          <w:sz w:val="24"/>
          <w:szCs w:val="24"/>
        </w:rPr>
        <w:t xml:space="preserve">required); and  </w:t>
      </w:r>
    </w:p>
    <w:p w14:paraId="7AE02E57" w14:textId="018C03DE" w:rsidR="00FA49F1" w:rsidRPr="00C85F71" w:rsidRDefault="00FA49F1" w:rsidP="00C85F71">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EC7E03">
        <w:rPr>
          <w:rFonts w:ascii="Times New Roman" w:hAnsi="Times New Roman" w:cs="Times New Roman"/>
          <w:sz w:val="24"/>
          <w:szCs w:val="24"/>
        </w:rPr>
        <w:t xml:space="preserve">Information about Victim Impact Statements and Reparation Orders. </w:t>
      </w:r>
    </w:p>
    <w:p w14:paraId="1F671492" w14:textId="171372F1" w:rsidR="00FA49F1" w:rsidRPr="00FA49F1" w:rsidRDefault="00FA49F1" w:rsidP="00C85F71">
      <w:pPr>
        <w:spacing w:after="240"/>
      </w:pPr>
      <w:r w:rsidRPr="00FA49F1">
        <w:t>The WAS Service takes steps to ensure that victims are s</w:t>
      </w:r>
      <w:r w:rsidR="00330441">
        <w:t>upported when attending court, and</w:t>
      </w:r>
      <w:r w:rsidR="00794FE0">
        <w:t> </w:t>
      </w:r>
      <w:r w:rsidRPr="00FA49F1">
        <w:t xml:space="preserve">also assists with debriefing with victims after court. </w:t>
      </w:r>
    </w:p>
    <w:p w14:paraId="49B68AF5" w14:textId="23257CFA" w:rsidR="00FA49F1" w:rsidRPr="00FA49F1" w:rsidRDefault="00240CAD" w:rsidP="00C85F71">
      <w:pPr>
        <w:spacing w:after="240"/>
      </w:pPr>
      <w:r>
        <w:t xml:space="preserve">WAS officers are qualified social workers with experience working with vulnerable client groups. The </w:t>
      </w:r>
      <w:r w:rsidR="00FA49F1" w:rsidRPr="00FA49F1">
        <w:t xml:space="preserve">WAS </w:t>
      </w:r>
      <w:r>
        <w:t xml:space="preserve">team aim </w:t>
      </w:r>
      <w:r w:rsidR="00330441">
        <w:t>to ensure t</w:t>
      </w:r>
      <w:r w:rsidR="00FA49F1" w:rsidRPr="00FA49F1">
        <w:t xml:space="preserve">he information and support provided to victims </w:t>
      </w:r>
      <w:r w:rsidR="007564EF">
        <w:t>meets their individual needs. </w:t>
      </w:r>
      <w:r w:rsidR="00FA49F1" w:rsidRPr="00FA49F1">
        <w:t xml:space="preserve">The vulnerabilities that victims can experience are </w:t>
      </w:r>
      <w:r w:rsidR="007564EF">
        <w:t>diverse and may include autism.</w:t>
      </w:r>
      <w:r w:rsidR="00FA49F1" w:rsidRPr="00FA49F1">
        <w:t xml:space="preserve"> </w:t>
      </w:r>
      <w:r w:rsidR="00330441">
        <w:t>The</w:t>
      </w:r>
      <w:r w:rsidR="00FA49F1" w:rsidRPr="00FA49F1">
        <w:t xml:space="preserve"> WAS approach may be guided by the victim and where appropriate, members of their support network including family members and p</w:t>
      </w:r>
      <w:r w:rsidR="007564EF">
        <w:t>rofessional service providers. </w:t>
      </w:r>
    </w:p>
    <w:p w14:paraId="09D4B024" w14:textId="57817EFE" w:rsidR="00C304F0" w:rsidRPr="00C85F71" w:rsidRDefault="00FA49F1" w:rsidP="00C85F71">
      <w:pPr>
        <w:spacing w:after="240"/>
      </w:pPr>
      <w:r w:rsidRPr="00FA49F1">
        <w:t>The CDPP Victims and Witnesses website provides further information regarding the rol</w:t>
      </w:r>
      <w:r w:rsidR="00330441">
        <w:t>e of the WAS and the</w:t>
      </w:r>
      <w:r w:rsidRPr="00FA49F1">
        <w:t xml:space="preserve"> CDPP</w:t>
      </w:r>
      <w:r w:rsidR="00330441">
        <w:t>, and various external support services available to victims of crime and witnesses</w:t>
      </w:r>
      <w:r w:rsidR="0056778D">
        <w:t xml:space="preserve"> at</w:t>
      </w:r>
      <w:r w:rsidR="00330441">
        <w:t xml:space="preserve">: </w:t>
      </w:r>
      <w:hyperlink r:id="rId19" w:history="1">
        <w:r w:rsidR="00330441">
          <w:rPr>
            <w:rStyle w:val="Hyperlink"/>
          </w:rPr>
          <w:t>Victims and Witnesses</w:t>
        </w:r>
      </w:hyperlink>
      <w:r w:rsidR="00330441">
        <w:t>.</w:t>
      </w:r>
    </w:p>
    <w:p w14:paraId="12E5D7BB" w14:textId="70B52499" w:rsidR="00766FC8" w:rsidRDefault="00C304F0" w:rsidP="00C85F71">
      <w:pPr>
        <w:spacing w:after="240"/>
        <w:rPr>
          <w:iCs/>
        </w:rPr>
      </w:pPr>
      <w:r w:rsidRPr="00C304F0">
        <w:rPr>
          <w:iCs/>
        </w:rPr>
        <w:t>The A</w:t>
      </w:r>
      <w:r w:rsidR="00B27126">
        <w:rPr>
          <w:iCs/>
        </w:rPr>
        <w:t xml:space="preserve">ustralian </w:t>
      </w:r>
      <w:r w:rsidRPr="00C304F0">
        <w:rPr>
          <w:iCs/>
        </w:rPr>
        <w:t>F</w:t>
      </w:r>
      <w:r w:rsidR="00B27126">
        <w:rPr>
          <w:iCs/>
        </w:rPr>
        <w:t xml:space="preserve">ederal </w:t>
      </w:r>
      <w:r w:rsidRPr="00C304F0">
        <w:rPr>
          <w:iCs/>
        </w:rPr>
        <w:t>P</w:t>
      </w:r>
      <w:r w:rsidR="00B27126">
        <w:rPr>
          <w:iCs/>
        </w:rPr>
        <w:t>olice (AFP)</w:t>
      </w:r>
      <w:r w:rsidRPr="00C304F0">
        <w:rPr>
          <w:iCs/>
        </w:rPr>
        <w:t xml:space="preserve"> provides autism awareness training to its members and is undertaking research to further embed neurodiversity related information into AFP training materials and strategies.</w:t>
      </w:r>
    </w:p>
    <w:tbl>
      <w:tblPr>
        <w:tblStyle w:val="TableGrid"/>
        <w:tblW w:w="0" w:type="auto"/>
        <w:tblLook w:val="04A0" w:firstRow="1" w:lastRow="0" w:firstColumn="1" w:lastColumn="0" w:noHBand="0" w:noVBand="1"/>
        <w:tblDescription w:val="Decorative"/>
      </w:tblPr>
      <w:tblGrid>
        <w:gridCol w:w="9016"/>
      </w:tblGrid>
      <w:tr w:rsidR="00766FC8" w14:paraId="284319D7" w14:textId="77777777" w:rsidTr="00766FC8">
        <w:tc>
          <w:tcPr>
            <w:tcW w:w="9016" w:type="dxa"/>
          </w:tcPr>
          <w:p w14:paraId="3CB1C855" w14:textId="77777777" w:rsidR="00766FC8" w:rsidRPr="00766FC8" w:rsidRDefault="00766FC8" w:rsidP="00766FC8">
            <w:pPr>
              <w:spacing w:line="276" w:lineRule="auto"/>
              <w:jc w:val="both"/>
              <w:rPr>
                <w:b/>
              </w:rPr>
            </w:pPr>
            <w:r w:rsidRPr="00766FC8">
              <w:rPr>
                <w:b/>
              </w:rPr>
              <w:t>Recommendation 76</w:t>
            </w:r>
          </w:p>
          <w:p w14:paraId="7F0CC734" w14:textId="0B5F2BD7" w:rsidR="00766FC8" w:rsidRDefault="00766FC8" w:rsidP="00766FC8">
            <w:pPr>
              <w:rPr>
                <w:iCs/>
              </w:rPr>
            </w:pPr>
            <w:r w:rsidRPr="005F66E0">
              <w:t>The committee recommends that all jurisdictions encourage the adoption of community policing approaches in order to build understanding and trust between police and the autistic</w:t>
            </w:r>
            <w:r w:rsidRPr="005F66E0">
              <w:rPr>
                <w:spacing w:val="-4"/>
              </w:rPr>
              <w:t xml:space="preserve"> </w:t>
            </w:r>
            <w:r w:rsidRPr="005F66E0">
              <w:t>community.</w:t>
            </w:r>
          </w:p>
        </w:tc>
      </w:tr>
    </w:tbl>
    <w:p w14:paraId="7A164892" w14:textId="70F4A8D5" w:rsidR="00B27126" w:rsidRPr="00C85F71" w:rsidRDefault="00B27126" w:rsidP="009179EB"/>
    <w:p w14:paraId="64710DDB" w14:textId="7E148B54" w:rsidR="006A3C50" w:rsidRPr="006A3C50" w:rsidRDefault="006A3C50" w:rsidP="00C304F0">
      <w:pPr>
        <w:rPr>
          <w:b/>
          <w:iCs/>
        </w:rPr>
      </w:pPr>
      <w:r>
        <w:rPr>
          <w:b/>
          <w:iCs/>
        </w:rPr>
        <w:t xml:space="preserve">Noted </w:t>
      </w:r>
    </w:p>
    <w:p w14:paraId="00C94E8C" w14:textId="38820534" w:rsidR="00C304F0" w:rsidRPr="00C85F71" w:rsidRDefault="00C304F0" w:rsidP="00C85F71">
      <w:pPr>
        <w:spacing w:after="240"/>
        <w:rPr>
          <w:sz w:val="22"/>
          <w:szCs w:val="22"/>
        </w:rPr>
      </w:pPr>
      <w:r w:rsidRPr="00C304F0">
        <w:rPr>
          <w:iCs/>
        </w:rPr>
        <w:t xml:space="preserve">The </w:t>
      </w:r>
      <w:r w:rsidR="00B62FDB">
        <w:t>Australian</w:t>
      </w:r>
      <w:r w:rsidR="00B62FDB" w:rsidRPr="00C304F0">
        <w:rPr>
          <w:iCs/>
        </w:rPr>
        <w:t xml:space="preserve"> </w:t>
      </w:r>
      <w:r w:rsidRPr="00C304F0">
        <w:rPr>
          <w:iCs/>
        </w:rPr>
        <w:t xml:space="preserve">Government notes it is a matter for </w:t>
      </w:r>
      <w:r w:rsidR="00B27126">
        <w:rPr>
          <w:iCs/>
        </w:rPr>
        <w:t>s</w:t>
      </w:r>
      <w:r w:rsidRPr="00C304F0">
        <w:rPr>
          <w:iCs/>
        </w:rPr>
        <w:t>tate</w:t>
      </w:r>
      <w:r w:rsidR="00B27126">
        <w:rPr>
          <w:iCs/>
        </w:rPr>
        <w:t xml:space="preserve"> and t</w:t>
      </w:r>
      <w:r w:rsidR="00C85F71">
        <w:rPr>
          <w:iCs/>
        </w:rPr>
        <w:t>erritory police.</w:t>
      </w:r>
    </w:p>
    <w:p w14:paraId="0B9AFC21" w14:textId="719F5EC5" w:rsidR="008337E4" w:rsidRDefault="00C304F0" w:rsidP="00C85F71">
      <w:pPr>
        <w:spacing w:after="240"/>
        <w:rPr>
          <w:iCs/>
        </w:rPr>
      </w:pPr>
      <w:r w:rsidRPr="00C304F0">
        <w:rPr>
          <w:iCs/>
        </w:rPr>
        <w:t>The A</w:t>
      </w:r>
      <w:r w:rsidR="006A3C50">
        <w:rPr>
          <w:iCs/>
        </w:rPr>
        <w:t xml:space="preserve">ustralian </w:t>
      </w:r>
      <w:r w:rsidRPr="00C304F0">
        <w:rPr>
          <w:iCs/>
        </w:rPr>
        <w:t>F</w:t>
      </w:r>
      <w:r w:rsidR="006A3C50">
        <w:rPr>
          <w:iCs/>
        </w:rPr>
        <w:t xml:space="preserve">ederal </w:t>
      </w:r>
      <w:r w:rsidRPr="00C304F0">
        <w:rPr>
          <w:iCs/>
        </w:rPr>
        <w:t>P</w:t>
      </w:r>
      <w:r w:rsidR="006A3C50">
        <w:rPr>
          <w:iCs/>
        </w:rPr>
        <w:t xml:space="preserve">olice, </w:t>
      </w:r>
      <w:r w:rsidRPr="00C304F0">
        <w:rPr>
          <w:iCs/>
        </w:rPr>
        <w:t>through thei</w:t>
      </w:r>
      <w:r w:rsidR="006A3C50">
        <w:rPr>
          <w:iCs/>
        </w:rPr>
        <w:t>r ACT Policing responsibilities,</w:t>
      </w:r>
      <w:r w:rsidRPr="00C304F0">
        <w:rPr>
          <w:iCs/>
        </w:rPr>
        <w:t xml:space="preserve"> supports and adopts a community policing approach in order to build understanding and trust between police and the autistic community.</w:t>
      </w:r>
    </w:p>
    <w:tbl>
      <w:tblPr>
        <w:tblStyle w:val="TableGrid"/>
        <w:tblW w:w="0" w:type="auto"/>
        <w:tblLook w:val="04A0" w:firstRow="1" w:lastRow="0" w:firstColumn="1" w:lastColumn="0" w:noHBand="0" w:noVBand="1"/>
        <w:tblDescription w:val="Decorative"/>
      </w:tblPr>
      <w:tblGrid>
        <w:gridCol w:w="9016"/>
      </w:tblGrid>
      <w:tr w:rsidR="007C0D5C" w14:paraId="3A1356F7" w14:textId="77777777" w:rsidTr="007C0D5C">
        <w:tc>
          <w:tcPr>
            <w:tcW w:w="9016" w:type="dxa"/>
          </w:tcPr>
          <w:p w14:paraId="3ABD6D12" w14:textId="77777777" w:rsidR="007C0D5C" w:rsidRPr="007C0D5C" w:rsidRDefault="00C449BB" w:rsidP="007C0D5C">
            <w:pPr>
              <w:spacing w:before="1" w:line="276" w:lineRule="auto"/>
              <w:jc w:val="both"/>
              <w:rPr>
                <w:b/>
              </w:rPr>
            </w:pPr>
            <w:hyperlink r:id="rId20" w:anchor="_bookmark1877" w:history="1">
              <w:r w:rsidR="007C0D5C" w:rsidRPr="007C0D5C">
                <w:rPr>
                  <w:rStyle w:val="Hyperlink"/>
                  <w:b/>
                  <w:color w:val="auto"/>
                  <w:u w:val="none"/>
                </w:rPr>
                <w:t>Recommendation 77</w:t>
              </w:r>
            </w:hyperlink>
          </w:p>
          <w:p w14:paraId="33FE33BB" w14:textId="100E254E" w:rsidR="007C0D5C" w:rsidRDefault="007C0D5C" w:rsidP="007C0D5C">
            <w:pPr>
              <w:rPr>
                <w:iCs/>
              </w:rPr>
            </w:pPr>
            <w:r w:rsidRPr="005F66E0">
              <w:t>The</w:t>
            </w:r>
            <w:r w:rsidRPr="005F66E0">
              <w:rPr>
                <w:spacing w:val="-17"/>
              </w:rPr>
              <w:t xml:space="preserve"> </w:t>
            </w:r>
            <w:r w:rsidRPr="005F66E0">
              <w:t>committee</w:t>
            </w:r>
            <w:r w:rsidRPr="005F66E0">
              <w:rPr>
                <w:spacing w:val="-17"/>
              </w:rPr>
              <w:t xml:space="preserve"> </w:t>
            </w:r>
            <w:r w:rsidRPr="005F66E0">
              <w:t>recommends</w:t>
            </w:r>
            <w:r w:rsidRPr="005F66E0">
              <w:rPr>
                <w:spacing w:val="-18"/>
              </w:rPr>
              <w:t xml:space="preserve"> </w:t>
            </w:r>
            <w:r w:rsidRPr="005F66E0">
              <w:t>that the Australian Government work with states and territory governments to promote a culture in the justice system where autistic people feel supported to disclose their diagnosis and where people with undiagnosed disabilities feel comfortable requesting an assessment.</w:t>
            </w:r>
          </w:p>
        </w:tc>
      </w:tr>
    </w:tbl>
    <w:p w14:paraId="319EF0AB" w14:textId="06FDE570" w:rsidR="008337E4" w:rsidRPr="00C85F71" w:rsidRDefault="008337E4" w:rsidP="008337E4"/>
    <w:p w14:paraId="6F0D714F" w14:textId="56C666DF" w:rsidR="00F134B8" w:rsidRPr="00FB268F" w:rsidRDefault="00F134B8" w:rsidP="00F134B8">
      <w:pPr>
        <w:rPr>
          <w:b/>
          <w:bCs/>
        </w:rPr>
      </w:pPr>
      <w:r w:rsidRPr="00F134B8">
        <w:rPr>
          <w:b/>
          <w:iCs/>
        </w:rPr>
        <w:t>Support</w:t>
      </w:r>
      <w:r w:rsidR="00F776FF">
        <w:rPr>
          <w:b/>
          <w:iCs/>
        </w:rPr>
        <w:t>ed</w:t>
      </w:r>
      <w:r w:rsidRPr="00F134B8">
        <w:rPr>
          <w:b/>
          <w:iCs/>
        </w:rPr>
        <w:t xml:space="preserve"> in principle</w:t>
      </w:r>
    </w:p>
    <w:p w14:paraId="2B0C5655" w14:textId="724E25E8" w:rsidR="00F776FF" w:rsidRDefault="00F134B8" w:rsidP="00C85F71">
      <w:pPr>
        <w:spacing w:after="240"/>
      </w:pPr>
      <w:r w:rsidRPr="00F134B8">
        <w:t xml:space="preserve">The </w:t>
      </w:r>
      <w:r w:rsidR="00B62FDB">
        <w:t>Australian</w:t>
      </w:r>
      <w:r w:rsidR="00B62FDB" w:rsidRPr="00F134B8" w:rsidDel="00EA79C5">
        <w:t xml:space="preserve"> </w:t>
      </w:r>
      <w:r w:rsidR="00F776FF">
        <w:t xml:space="preserve">Government considers </w:t>
      </w:r>
      <w:r w:rsidR="001520F4">
        <w:t xml:space="preserve">that </w:t>
      </w:r>
      <w:r w:rsidRPr="00F134B8">
        <w:t>the justice system should be accessible to all users, including pe</w:t>
      </w:r>
      <w:r w:rsidR="00FB268F">
        <w:t>ople</w:t>
      </w:r>
      <w:r w:rsidRPr="00F134B8">
        <w:t xml:space="preserve"> with disabilities. </w:t>
      </w:r>
    </w:p>
    <w:p w14:paraId="6BA82C65" w14:textId="15C06C3F" w:rsidR="00F134B8" w:rsidRPr="00F134B8" w:rsidRDefault="00F134B8" w:rsidP="00C85F71">
      <w:pPr>
        <w:spacing w:after="240"/>
      </w:pPr>
      <w:r w:rsidRPr="00F134B8">
        <w:lastRenderedPageBreak/>
        <w:t>Having regard to the range of disabilities that court users may experience and the unique needs of any individual with a disability, general informa</w:t>
      </w:r>
      <w:r w:rsidR="00F73383">
        <w:t>tion is provided on the Federal </w:t>
      </w:r>
      <w:r w:rsidRPr="00F134B8">
        <w:t>Circuit and Family Court of Australia</w:t>
      </w:r>
      <w:r w:rsidR="00F73383">
        <w:t>,</w:t>
      </w:r>
      <w:r w:rsidRPr="00F134B8">
        <w:t xml:space="preserve"> and the</w:t>
      </w:r>
      <w:r w:rsidR="00F776FF">
        <w:t xml:space="preserve"> Federal Court of Australia’s</w:t>
      </w:r>
      <w:r w:rsidRPr="00F134B8">
        <w:t xml:space="preserve"> websites about the process for requesting </w:t>
      </w:r>
      <w:r w:rsidR="00EA79C5">
        <w:t>reasonable adjustments</w:t>
      </w:r>
      <w:r w:rsidR="00F776FF">
        <w:t>. Reasonable adjustments</w:t>
      </w:r>
      <w:r w:rsidRPr="00F134B8">
        <w:t xml:space="preserve"> could include any </w:t>
      </w:r>
      <w:r w:rsidR="00EA79C5">
        <w:t>adjustments</w:t>
      </w:r>
      <w:r w:rsidRPr="00F134B8">
        <w:t xml:space="preserve"> for someone who discloses a diagno</w:t>
      </w:r>
      <w:r w:rsidR="00F73383">
        <w:t>sis of autism. In addition to a </w:t>
      </w:r>
      <w:r w:rsidRPr="00F134B8">
        <w:t>party or their legal representative making a request pursuant to this process, the courts through their proactive case management can explore what supports or reasonable adjustments may be made at vario</w:t>
      </w:r>
      <w:r w:rsidR="00C85F71">
        <w:t>us stages of court proceedings.</w:t>
      </w:r>
    </w:p>
    <w:p w14:paraId="5299A46A" w14:textId="199CBDCB" w:rsidR="00684A76" w:rsidRDefault="00F134B8" w:rsidP="00C85F71">
      <w:pPr>
        <w:spacing w:after="240"/>
      </w:pPr>
      <w:r w:rsidRPr="00F134B8">
        <w:t xml:space="preserve">Consistent with the independence of the judiciary from the executive, the </w:t>
      </w:r>
      <w:r w:rsidR="001520F4">
        <w:t>f</w:t>
      </w:r>
      <w:r w:rsidRPr="00F134B8">
        <w:t>ederal courts are each responsible for their own operation and management</w:t>
      </w:r>
      <w:r w:rsidR="00FB268F">
        <w:t xml:space="preserve">, </w:t>
      </w:r>
      <w:r w:rsidRPr="00F134B8">
        <w:t xml:space="preserve">including the development and maintenance of organisational culture. </w:t>
      </w:r>
    </w:p>
    <w:tbl>
      <w:tblPr>
        <w:tblStyle w:val="TableGrid"/>
        <w:tblW w:w="0" w:type="auto"/>
        <w:tblLook w:val="04A0" w:firstRow="1" w:lastRow="0" w:firstColumn="1" w:lastColumn="0" w:noHBand="0" w:noVBand="1"/>
        <w:tblDescription w:val="Decorative"/>
      </w:tblPr>
      <w:tblGrid>
        <w:gridCol w:w="9016"/>
      </w:tblGrid>
      <w:tr w:rsidR="00684A76" w14:paraId="61073271" w14:textId="77777777" w:rsidTr="00684A76">
        <w:tc>
          <w:tcPr>
            <w:tcW w:w="9016" w:type="dxa"/>
          </w:tcPr>
          <w:p w14:paraId="154DD6D3" w14:textId="77777777" w:rsidR="00684A76" w:rsidRPr="00684A76" w:rsidRDefault="00684A76" w:rsidP="00684A76">
            <w:pPr>
              <w:spacing w:line="276" w:lineRule="auto"/>
              <w:jc w:val="both"/>
              <w:rPr>
                <w:b/>
              </w:rPr>
            </w:pPr>
            <w:r w:rsidRPr="00684A76">
              <w:rPr>
                <w:b/>
              </w:rPr>
              <w:t>Recommendation 78</w:t>
            </w:r>
          </w:p>
          <w:p w14:paraId="663709D5" w14:textId="77777777" w:rsidR="00684A76" w:rsidRPr="005F66E0" w:rsidRDefault="00684A76" w:rsidP="00684A76">
            <w:pPr>
              <w:spacing w:before="60" w:line="276" w:lineRule="auto"/>
              <w:ind w:right="717"/>
            </w:pPr>
            <w:r w:rsidRPr="005F66E0">
              <w:t>The committee recommends that the Australian Government work with state and territory governments and relevant stakeholders to develop nationally consistent</w:t>
            </w:r>
            <w:r w:rsidRPr="005F66E0">
              <w:rPr>
                <w:spacing w:val="-13"/>
              </w:rPr>
              <w:t xml:space="preserve"> </w:t>
            </w:r>
            <w:r w:rsidRPr="005F66E0">
              <w:t>guidance</w:t>
            </w:r>
            <w:r w:rsidRPr="005F66E0">
              <w:rPr>
                <w:spacing w:val="-11"/>
              </w:rPr>
              <w:t xml:space="preserve"> </w:t>
            </w:r>
            <w:r w:rsidRPr="005F66E0">
              <w:t>on</w:t>
            </w:r>
            <w:r w:rsidRPr="005F66E0">
              <w:rPr>
                <w:spacing w:val="-12"/>
              </w:rPr>
              <w:t xml:space="preserve"> </w:t>
            </w:r>
            <w:r w:rsidRPr="005F66E0">
              <w:t>the</w:t>
            </w:r>
            <w:r w:rsidRPr="005F66E0">
              <w:rPr>
                <w:spacing w:val="-9"/>
              </w:rPr>
              <w:t xml:space="preserve"> </w:t>
            </w:r>
            <w:r w:rsidRPr="005F66E0">
              <w:t>type</w:t>
            </w:r>
            <w:r w:rsidRPr="005F66E0">
              <w:rPr>
                <w:spacing w:val="-12"/>
              </w:rPr>
              <w:t xml:space="preserve"> </w:t>
            </w:r>
            <w:r w:rsidRPr="005F66E0">
              <w:t>of</w:t>
            </w:r>
            <w:r w:rsidRPr="005F66E0">
              <w:rPr>
                <w:spacing w:val="-11"/>
              </w:rPr>
              <w:t xml:space="preserve"> </w:t>
            </w:r>
            <w:r w:rsidRPr="005F66E0">
              <w:t>adjustments</w:t>
            </w:r>
            <w:r w:rsidRPr="005F66E0">
              <w:rPr>
                <w:spacing w:val="-13"/>
              </w:rPr>
              <w:t xml:space="preserve"> </w:t>
            </w:r>
            <w:r w:rsidRPr="005F66E0">
              <w:t>that</w:t>
            </w:r>
            <w:r w:rsidRPr="005F66E0">
              <w:rPr>
                <w:spacing w:val="-9"/>
              </w:rPr>
              <w:t xml:space="preserve"> </w:t>
            </w:r>
            <w:r w:rsidRPr="005F66E0">
              <w:t>should</w:t>
            </w:r>
            <w:r w:rsidRPr="005F66E0">
              <w:rPr>
                <w:spacing w:val="-12"/>
              </w:rPr>
              <w:t xml:space="preserve"> </w:t>
            </w:r>
            <w:r w:rsidRPr="005F66E0">
              <w:t>be</w:t>
            </w:r>
            <w:r w:rsidRPr="005F66E0">
              <w:rPr>
                <w:spacing w:val="-9"/>
              </w:rPr>
              <w:t xml:space="preserve"> </w:t>
            </w:r>
            <w:r w:rsidRPr="005F66E0">
              <w:t>made</w:t>
            </w:r>
            <w:r w:rsidRPr="005F66E0">
              <w:rPr>
                <w:spacing w:val="-11"/>
              </w:rPr>
              <w:t xml:space="preserve"> </w:t>
            </w:r>
            <w:r w:rsidRPr="005F66E0">
              <w:t>available to autistic people in justice settings. This should</w:t>
            </w:r>
            <w:r w:rsidRPr="005F66E0">
              <w:rPr>
                <w:spacing w:val="-4"/>
              </w:rPr>
              <w:t xml:space="preserve"> </w:t>
            </w:r>
            <w:r w:rsidRPr="005F66E0">
              <w:t>include:</w:t>
            </w:r>
          </w:p>
          <w:p w14:paraId="68811E85" w14:textId="77777777" w:rsidR="00684A76" w:rsidRPr="005F66E0" w:rsidRDefault="00684A76" w:rsidP="00684A76">
            <w:pPr>
              <w:pStyle w:val="ListParagraph"/>
              <w:widowControl w:val="0"/>
              <w:numPr>
                <w:ilvl w:val="0"/>
                <w:numId w:val="4"/>
              </w:numPr>
              <w:tabs>
                <w:tab w:val="left" w:pos="1028"/>
              </w:tabs>
              <w:autoSpaceDE w:val="0"/>
              <w:autoSpaceDN w:val="0"/>
              <w:spacing w:before="121"/>
              <w:rPr>
                <w:rFonts w:ascii="Times New Roman" w:hAnsi="Times New Roman" w:cs="Times New Roman"/>
                <w:sz w:val="24"/>
                <w:szCs w:val="24"/>
              </w:rPr>
            </w:pPr>
            <w:r w:rsidRPr="005F66E0">
              <w:rPr>
                <w:rFonts w:ascii="Times New Roman" w:hAnsi="Times New Roman" w:cs="Times New Roman"/>
                <w:sz w:val="24"/>
                <w:szCs w:val="24"/>
              </w:rPr>
              <w:t>the provision of autism-friendly information</w:t>
            </w:r>
            <w:r w:rsidRPr="005F66E0">
              <w:rPr>
                <w:rFonts w:ascii="Times New Roman" w:hAnsi="Times New Roman" w:cs="Times New Roman"/>
                <w:spacing w:val="-5"/>
                <w:sz w:val="24"/>
                <w:szCs w:val="24"/>
              </w:rPr>
              <w:t xml:space="preserve"> </w:t>
            </w:r>
            <w:r w:rsidRPr="005F66E0">
              <w:rPr>
                <w:rFonts w:ascii="Times New Roman" w:hAnsi="Times New Roman" w:cs="Times New Roman"/>
                <w:sz w:val="24"/>
                <w:szCs w:val="24"/>
              </w:rPr>
              <w:t>resources;</w:t>
            </w:r>
          </w:p>
          <w:p w14:paraId="0E97D549" w14:textId="77777777" w:rsidR="00684A76" w:rsidRDefault="00684A76" w:rsidP="00684A76">
            <w:pPr>
              <w:pStyle w:val="ListParagraph"/>
              <w:widowControl w:val="0"/>
              <w:numPr>
                <w:ilvl w:val="0"/>
                <w:numId w:val="4"/>
              </w:numPr>
              <w:tabs>
                <w:tab w:val="left" w:pos="1028"/>
              </w:tabs>
              <w:autoSpaceDE w:val="0"/>
              <w:autoSpaceDN w:val="0"/>
              <w:ind w:right="1289"/>
              <w:rPr>
                <w:rFonts w:ascii="Times New Roman" w:hAnsi="Times New Roman" w:cs="Times New Roman"/>
                <w:sz w:val="24"/>
                <w:szCs w:val="24"/>
              </w:rPr>
            </w:pPr>
            <w:r w:rsidRPr="005F66E0">
              <w:rPr>
                <w:rFonts w:ascii="Times New Roman" w:hAnsi="Times New Roman" w:cs="Times New Roman"/>
                <w:sz w:val="24"/>
                <w:szCs w:val="24"/>
              </w:rPr>
              <w:t>the involvement of disability advocates as standard practice in police interviews and during court proceedings;</w:t>
            </w:r>
            <w:r w:rsidRPr="005F66E0">
              <w:rPr>
                <w:rFonts w:ascii="Times New Roman" w:hAnsi="Times New Roman" w:cs="Times New Roman"/>
                <w:spacing w:val="-4"/>
                <w:sz w:val="24"/>
                <w:szCs w:val="24"/>
              </w:rPr>
              <w:t xml:space="preserve"> </w:t>
            </w:r>
            <w:r w:rsidRPr="005F66E0">
              <w:rPr>
                <w:rFonts w:ascii="Times New Roman" w:hAnsi="Times New Roman" w:cs="Times New Roman"/>
                <w:sz w:val="24"/>
                <w:szCs w:val="24"/>
              </w:rPr>
              <w:t>and</w:t>
            </w:r>
          </w:p>
          <w:p w14:paraId="611440CF" w14:textId="14474E69" w:rsidR="00684A76" w:rsidRPr="00684A76" w:rsidRDefault="00684A76" w:rsidP="00684A76">
            <w:pPr>
              <w:pStyle w:val="ListParagraph"/>
              <w:widowControl w:val="0"/>
              <w:numPr>
                <w:ilvl w:val="0"/>
                <w:numId w:val="4"/>
              </w:numPr>
              <w:tabs>
                <w:tab w:val="left" w:pos="1028"/>
              </w:tabs>
              <w:autoSpaceDE w:val="0"/>
              <w:autoSpaceDN w:val="0"/>
              <w:ind w:right="1289"/>
              <w:rPr>
                <w:rFonts w:ascii="Times New Roman" w:hAnsi="Times New Roman" w:cs="Times New Roman"/>
                <w:sz w:val="24"/>
                <w:szCs w:val="24"/>
              </w:rPr>
            </w:pPr>
            <w:r w:rsidRPr="005F66E0">
              <w:rPr>
                <w:rFonts w:ascii="Times New Roman" w:hAnsi="Times New Roman" w:cs="Times New Roman"/>
                <w:sz w:val="24"/>
                <w:szCs w:val="24"/>
              </w:rPr>
              <w:t>adjustments to physical environments and police and court interview processes.</w:t>
            </w:r>
          </w:p>
        </w:tc>
      </w:tr>
    </w:tbl>
    <w:p w14:paraId="09BBBB3D" w14:textId="060023BD" w:rsidR="001304DB" w:rsidRPr="00684A76" w:rsidRDefault="001304DB" w:rsidP="001304DB"/>
    <w:p w14:paraId="1A8731D4" w14:textId="77777777" w:rsidR="00B808E1" w:rsidRDefault="00B808E1" w:rsidP="00B808E1">
      <w:pPr>
        <w:rPr>
          <w:b/>
        </w:rPr>
      </w:pPr>
      <w:r w:rsidRPr="008D3724">
        <w:rPr>
          <w:b/>
        </w:rPr>
        <w:t>Supported in principle</w:t>
      </w:r>
    </w:p>
    <w:p w14:paraId="61514D35" w14:textId="5849622A" w:rsidR="00684A76" w:rsidRDefault="00B808E1" w:rsidP="00C85F71">
      <w:pPr>
        <w:spacing w:after="240"/>
      </w:pPr>
      <w:r w:rsidRPr="00EA79C5">
        <w:t xml:space="preserve">The </w:t>
      </w:r>
      <w:r w:rsidRPr="00EA79C5">
        <w:rPr>
          <w:i/>
          <w:iCs/>
        </w:rPr>
        <w:t>Disability Discrimination Act 1992</w:t>
      </w:r>
      <w:r w:rsidRPr="00EA79C5">
        <w:t xml:space="preserve"> (Cth) </w:t>
      </w:r>
      <w:r>
        <w:t xml:space="preserve">(the Act) </w:t>
      </w:r>
      <w:r w:rsidRPr="00EA79C5">
        <w:t>requir</w:t>
      </w:r>
      <w:r w:rsidR="008D3724">
        <w:t>es reasonable adjustments to be </w:t>
      </w:r>
      <w:r w:rsidRPr="00EA79C5">
        <w:t xml:space="preserve">made available to people with disability in justice settings, unless doing so would cause unjustifiable hardship. Specifically, the Act is in place to eliminate discrimination against people with disability as far as possible, and to promote community acceptance of the principle that people with disability have the same fundamental rights as all members of the community. </w:t>
      </w:r>
    </w:p>
    <w:p w14:paraId="6D1E598D" w14:textId="47C112AF" w:rsidR="00B808E1" w:rsidRPr="00F134B8" w:rsidRDefault="00B808E1" w:rsidP="00C85F71">
      <w:pPr>
        <w:spacing w:after="240"/>
      </w:pPr>
      <w:r w:rsidRPr="00EA79C5">
        <w:t>The Act provides that direct and indirect discrimination on the basis of disability is unlawful in a broad range of areas of public life, relevantly including a</w:t>
      </w:r>
      <w:r w:rsidR="008D3724">
        <w:t>ccess to premises and access to </w:t>
      </w:r>
      <w:r w:rsidRPr="00EA79C5">
        <w:t>goods, services and facilities. The Act requires reasonable adjustments to be made in the aforementioned areas of public life. A reasonable adjustment is a measure or action taken to assist a person with disability to participate on the same basis as others.</w:t>
      </w:r>
    </w:p>
    <w:p w14:paraId="7656C208" w14:textId="1B334DC7" w:rsidR="00B808E1" w:rsidRDefault="00B808E1" w:rsidP="00C85F71">
      <w:pPr>
        <w:spacing w:after="240"/>
      </w:pPr>
      <w:r w:rsidRPr="00F134B8">
        <w:t xml:space="preserve">Consistent with the independence of the judiciary from the executive, it is a matter for each of the </w:t>
      </w:r>
      <w:r w:rsidR="001520F4">
        <w:t>f</w:t>
      </w:r>
      <w:r w:rsidRPr="00F134B8">
        <w:t>ederal courts to implement any guidance on the type of adjustments that should be made available to autistic people in justice settings.</w:t>
      </w:r>
    </w:p>
    <w:p w14:paraId="4D1F0318" w14:textId="6F804DDD" w:rsidR="00B808E1" w:rsidRPr="00FA49F1" w:rsidRDefault="00B808E1" w:rsidP="00C85F71">
      <w:pPr>
        <w:spacing w:after="240"/>
      </w:pPr>
      <w:r w:rsidRPr="00FA49F1">
        <w:t>The C</w:t>
      </w:r>
      <w:r>
        <w:t xml:space="preserve">ommonwealth </w:t>
      </w:r>
      <w:r w:rsidRPr="00FA49F1">
        <w:t>D</w:t>
      </w:r>
      <w:r>
        <w:t xml:space="preserve">irector of </w:t>
      </w:r>
      <w:r w:rsidRPr="00FA49F1">
        <w:t>P</w:t>
      </w:r>
      <w:r>
        <w:t xml:space="preserve">ublic </w:t>
      </w:r>
      <w:r w:rsidRPr="00FA49F1">
        <w:t>P</w:t>
      </w:r>
      <w:r>
        <w:t>rosecutions (CDPP)</w:t>
      </w:r>
      <w:r w:rsidRPr="00FA49F1">
        <w:t xml:space="preserve"> Witness Assistance Service (WAS) provides information and support to victims of crime and v</w:t>
      </w:r>
      <w:r w:rsidR="00C85F71">
        <w:t xml:space="preserve">ulnerable witnesses including: </w:t>
      </w:r>
    </w:p>
    <w:p w14:paraId="39C686A3" w14:textId="77777777" w:rsidR="00B808E1" w:rsidRPr="008D3724" w:rsidRDefault="00B808E1" w:rsidP="008D3724">
      <w:pPr>
        <w:pStyle w:val="ListParagraph"/>
        <w:numPr>
          <w:ilvl w:val="0"/>
          <w:numId w:val="7"/>
        </w:numPr>
        <w:spacing w:after="0" w:line="240" w:lineRule="auto"/>
        <w:ind w:left="714" w:hanging="357"/>
        <w:rPr>
          <w:rFonts w:ascii="Times New Roman" w:hAnsi="Times New Roman" w:cs="Times New Roman"/>
          <w:sz w:val="24"/>
          <w:szCs w:val="24"/>
        </w:rPr>
      </w:pPr>
      <w:r w:rsidRPr="008D3724">
        <w:rPr>
          <w:rFonts w:ascii="Times New Roman" w:hAnsi="Times New Roman" w:cs="Times New Roman"/>
          <w:sz w:val="24"/>
          <w:szCs w:val="24"/>
        </w:rPr>
        <w:t xml:space="preserve">Information concerning the legal process and court procedures; </w:t>
      </w:r>
    </w:p>
    <w:p w14:paraId="1027E9AB" w14:textId="77777777" w:rsidR="00B808E1" w:rsidRPr="008D3724" w:rsidRDefault="00B808E1" w:rsidP="008D3724">
      <w:pPr>
        <w:pStyle w:val="ListParagraph"/>
        <w:numPr>
          <w:ilvl w:val="0"/>
          <w:numId w:val="7"/>
        </w:numPr>
        <w:spacing w:after="0" w:line="240" w:lineRule="auto"/>
        <w:ind w:left="714" w:hanging="357"/>
        <w:rPr>
          <w:rFonts w:ascii="Times New Roman" w:hAnsi="Times New Roman" w:cs="Times New Roman"/>
          <w:sz w:val="24"/>
          <w:szCs w:val="24"/>
        </w:rPr>
      </w:pPr>
      <w:r w:rsidRPr="008D3724">
        <w:rPr>
          <w:rFonts w:ascii="Times New Roman" w:hAnsi="Times New Roman" w:cs="Times New Roman"/>
          <w:sz w:val="24"/>
          <w:szCs w:val="24"/>
        </w:rPr>
        <w:t xml:space="preserve">A liaison role between victims/witnesses and CDPP legal staff; </w:t>
      </w:r>
    </w:p>
    <w:p w14:paraId="663BFF6A" w14:textId="77777777" w:rsidR="00B808E1" w:rsidRPr="008D3724" w:rsidRDefault="00B808E1" w:rsidP="008D3724">
      <w:pPr>
        <w:pStyle w:val="ListParagraph"/>
        <w:numPr>
          <w:ilvl w:val="0"/>
          <w:numId w:val="7"/>
        </w:numPr>
        <w:spacing w:after="0" w:line="240" w:lineRule="auto"/>
        <w:ind w:left="714" w:hanging="357"/>
        <w:rPr>
          <w:rFonts w:ascii="Times New Roman" w:hAnsi="Times New Roman" w:cs="Times New Roman"/>
          <w:sz w:val="24"/>
          <w:szCs w:val="24"/>
        </w:rPr>
      </w:pPr>
      <w:r w:rsidRPr="008D3724">
        <w:rPr>
          <w:rFonts w:ascii="Times New Roman" w:hAnsi="Times New Roman" w:cs="Times New Roman"/>
          <w:sz w:val="24"/>
          <w:szCs w:val="24"/>
        </w:rPr>
        <w:t xml:space="preserve">Updates in relation to key developments concerning the case; </w:t>
      </w:r>
    </w:p>
    <w:p w14:paraId="26C26B7D" w14:textId="77777777" w:rsidR="00B808E1" w:rsidRPr="008D3724" w:rsidRDefault="00B808E1" w:rsidP="008D3724">
      <w:pPr>
        <w:pStyle w:val="ListParagraph"/>
        <w:numPr>
          <w:ilvl w:val="0"/>
          <w:numId w:val="7"/>
        </w:numPr>
        <w:spacing w:after="0" w:line="240" w:lineRule="auto"/>
        <w:ind w:left="714" w:hanging="357"/>
        <w:rPr>
          <w:rFonts w:ascii="Times New Roman" w:hAnsi="Times New Roman" w:cs="Times New Roman"/>
          <w:sz w:val="24"/>
          <w:szCs w:val="24"/>
        </w:rPr>
      </w:pPr>
      <w:r w:rsidRPr="008D3724">
        <w:rPr>
          <w:rFonts w:ascii="Times New Roman" w:hAnsi="Times New Roman" w:cs="Times New Roman"/>
          <w:sz w:val="24"/>
          <w:szCs w:val="24"/>
        </w:rPr>
        <w:t xml:space="preserve">A court familiarisation tour; </w:t>
      </w:r>
    </w:p>
    <w:p w14:paraId="0BA2560E" w14:textId="499EA879" w:rsidR="00B808E1" w:rsidRPr="008D3724" w:rsidRDefault="00B808E1" w:rsidP="008D3724">
      <w:pPr>
        <w:pStyle w:val="ListParagraph"/>
        <w:numPr>
          <w:ilvl w:val="0"/>
          <w:numId w:val="7"/>
        </w:numPr>
        <w:spacing w:after="0" w:line="240" w:lineRule="auto"/>
        <w:ind w:left="714" w:hanging="357"/>
        <w:rPr>
          <w:rFonts w:ascii="Times New Roman" w:hAnsi="Times New Roman" w:cs="Times New Roman"/>
          <w:sz w:val="24"/>
          <w:szCs w:val="24"/>
        </w:rPr>
      </w:pPr>
      <w:r w:rsidRPr="008D3724">
        <w:rPr>
          <w:rFonts w:ascii="Times New Roman" w:hAnsi="Times New Roman" w:cs="Times New Roman"/>
          <w:sz w:val="24"/>
          <w:szCs w:val="24"/>
        </w:rPr>
        <w:lastRenderedPageBreak/>
        <w:t>Referral to counselling and other services in the community (for a victim who has been diagnosed with autism, attempts would be made t</w:t>
      </w:r>
      <w:r w:rsidR="008D3724">
        <w:rPr>
          <w:rFonts w:ascii="Times New Roman" w:hAnsi="Times New Roman" w:cs="Times New Roman"/>
          <w:sz w:val="24"/>
          <w:szCs w:val="24"/>
        </w:rPr>
        <w:t>o identify specific services if </w:t>
      </w:r>
      <w:r w:rsidRPr="008D3724">
        <w:rPr>
          <w:rFonts w:ascii="Times New Roman" w:hAnsi="Times New Roman" w:cs="Times New Roman"/>
          <w:sz w:val="24"/>
          <w:szCs w:val="24"/>
        </w:rPr>
        <w:t xml:space="preserve">required); and  </w:t>
      </w:r>
    </w:p>
    <w:p w14:paraId="4B1C6130" w14:textId="2C2A39E9" w:rsidR="00B808E1" w:rsidRDefault="00B808E1" w:rsidP="00C85F71">
      <w:pPr>
        <w:pStyle w:val="ListParagraph"/>
        <w:numPr>
          <w:ilvl w:val="0"/>
          <w:numId w:val="7"/>
        </w:numPr>
        <w:spacing w:after="240" w:line="240" w:lineRule="auto"/>
        <w:ind w:left="714" w:hanging="357"/>
        <w:contextualSpacing w:val="0"/>
        <w:rPr>
          <w:rFonts w:ascii="Times New Roman" w:hAnsi="Times New Roman" w:cs="Times New Roman"/>
          <w:sz w:val="24"/>
          <w:szCs w:val="24"/>
        </w:rPr>
      </w:pPr>
      <w:r w:rsidRPr="008D3724">
        <w:rPr>
          <w:rFonts w:ascii="Times New Roman" w:hAnsi="Times New Roman" w:cs="Times New Roman"/>
          <w:sz w:val="24"/>
          <w:szCs w:val="24"/>
        </w:rPr>
        <w:t xml:space="preserve">Information about Victim Impact Statements and Reparation Orders. </w:t>
      </w:r>
    </w:p>
    <w:p w14:paraId="6E04F471" w14:textId="3641129E" w:rsidR="006A1CA5" w:rsidRDefault="00B808E1" w:rsidP="00C85F71">
      <w:pPr>
        <w:spacing w:after="240"/>
      </w:pPr>
      <w:r w:rsidRPr="00FA49F1">
        <w:t>The WAS Service also takes steps to ensure that victims are s</w:t>
      </w:r>
      <w:r>
        <w:t>upported when attending court, and</w:t>
      </w:r>
      <w:r w:rsidRPr="00FA49F1">
        <w:t xml:space="preserve"> also assists with debriefing with victims after court. </w:t>
      </w:r>
    </w:p>
    <w:p w14:paraId="775284A7" w14:textId="072B5399" w:rsidR="00B808E1" w:rsidRPr="00FA49F1" w:rsidRDefault="00B808E1" w:rsidP="00C85F71">
      <w:pPr>
        <w:spacing w:after="240"/>
      </w:pPr>
      <w:r w:rsidRPr="00FA49F1">
        <w:t xml:space="preserve">WAS officers </w:t>
      </w:r>
      <w:r w:rsidR="004A01C5">
        <w:t>are qualified social workers with experience working with vulnerabl</w:t>
      </w:r>
      <w:r w:rsidR="00210BED">
        <w:t>e client </w:t>
      </w:r>
      <w:r w:rsidR="004A01C5">
        <w:t xml:space="preserve">groups. The WAS team aim </w:t>
      </w:r>
      <w:r>
        <w:t>to ensure t</w:t>
      </w:r>
      <w:r w:rsidRPr="00FA49F1">
        <w:t xml:space="preserve">he information and support provided to victims </w:t>
      </w:r>
      <w:r>
        <w:t>meets their individual needs. </w:t>
      </w:r>
      <w:r w:rsidRPr="00FA49F1">
        <w:t xml:space="preserve">The vulnerabilities that victims can experience are </w:t>
      </w:r>
      <w:r>
        <w:t>diverse and may include autism.</w:t>
      </w:r>
      <w:r w:rsidRPr="00FA49F1">
        <w:t xml:space="preserve"> </w:t>
      </w:r>
      <w:r>
        <w:t>The</w:t>
      </w:r>
      <w:r w:rsidRPr="00FA49F1">
        <w:t xml:space="preserve"> WAS approach may be guided by the victim and where appropriate, members of their support network including family members and p</w:t>
      </w:r>
      <w:r>
        <w:t>rofessional service providers. </w:t>
      </w:r>
    </w:p>
    <w:p w14:paraId="01ACF74A" w14:textId="42BF595B" w:rsidR="00397A11" w:rsidRPr="00C85F71" w:rsidRDefault="00B808E1" w:rsidP="00C85F71">
      <w:pPr>
        <w:spacing w:after="240"/>
      </w:pPr>
      <w:r w:rsidRPr="00FA49F1">
        <w:t>The CDPP Victims and Witnesses website provides further information regarding the rol</w:t>
      </w:r>
      <w:r w:rsidR="00210BED">
        <w:t>e of </w:t>
      </w:r>
      <w:r>
        <w:t>the WAS and the</w:t>
      </w:r>
      <w:r w:rsidRPr="00FA49F1">
        <w:t xml:space="preserve"> CDPP</w:t>
      </w:r>
      <w:r>
        <w:t>, and various external support s</w:t>
      </w:r>
      <w:r w:rsidR="00210BED">
        <w:t>ervices available to victims of </w:t>
      </w:r>
      <w:r>
        <w:t xml:space="preserve">crime and witnesses: </w:t>
      </w:r>
      <w:hyperlink r:id="rId21" w:history="1">
        <w:r>
          <w:rPr>
            <w:rStyle w:val="Hyperlink"/>
          </w:rPr>
          <w:t>Victims and Witnesses</w:t>
        </w:r>
      </w:hyperlink>
      <w:r>
        <w:t>.</w:t>
      </w:r>
    </w:p>
    <w:p w14:paraId="24FEF6CC" w14:textId="411F6961" w:rsidR="006B4A46" w:rsidRPr="00686E50" w:rsidRDefault="00397A11" w:rsidP="00C85F71">
      <w:pPr>
        <w:spacing w:after="240"/>
        <w:rPr>
          <w:sz w:val="22"/>
          <w:szCs w:val="22"/>
        </w:rPr>
      </w:pPr>
      <w:r w:rsidRPr="00397A11">
        <w:rPr>
          <w:iCs/>
        </w:rPr>
        <w:t>The A</w:t>
      </w:r>
      <w:r w:rsidR="00B808E1">
        <w:rPr>
          <w:iCs/>
        </w:rPr>
        <w:t xml:space="preserve">ustralian </w:t>
      </w:r>
      <w:r w:rsidRPr="00397A11">
        <w:rPr>
          <w:iCs/>
        </w:rPr>
        <w:t>F</w:t>
      </w:r>
      <w:r w:rsidR="00B808E1">
        <w:rPr>
          <w:iCs/>
        </w:rPr>
        <w:t xml:space="preserve">ederal </w:t>
      </w:r>
      <w:r w:rsidRPr="00397A11">
        <w:rPr>
          <w:iCs/>
        </w:rPr>
        <w:t>P</w:t>
      </w:r>
      <w:r w:rsidR="00B808E1">
        <w:rPr>
          <w:iCs/>
        </w:rPr>
        <w:t>olice (AFP)</w:t>
      </w:r>
      <w:r w:rsidRPr="00397A11">
        <w:rPr>
          <w:iCs/>
        </w:rPr>
        <w:t xml:space="preserve"> has autism awareness training available to AFP members and is undertaking research to further embed neurodiversity related information into AFP training materials and strategies, to assist members when interacting with autistic people.</w:t>
      </w:r>
    </w:p>
    <w:tbl>
      <w:tblPr>
        <w:tblStyle w:val="TableGrid"/>
        <w:tblW w:w="0" w:type="auto"/>
        <w:tblLook w:val="04A0" w:firstRow="1" w:lastRow="0" w:firstColumn="1" w:lastColumn="0" w:noHBand="0" w:noVBand="1"/>
        <w:tblDescription w:val="Decorative"/>
      </w:tblPr>
      <w:tblGrid>
        <w:gridCol w:w="9016"/>
      </w:tblGrid>
      <w:tr w:rsidR="00686E50" w14:paraId="6B99A7B4" w14:textId="77777777" w:rsidTr="00686E50">
        <w:tc>
          <w:tcPr>
            <w:tcW w:w="9016" w:type="dxa"/>
          </w:tcPr>
          <w:p w14:paraId="3DCA7783" w14:textId="77777777" w:rsidR="00686E50" w:rsidRPr="00686E50" w:rsidRDefault="00686E50" w:rsidP="00686E50">
            <w:pPr>
              <w:spacing w:line="276" w:lineRule="auto"/>
              <w:jc w:val="both"/>
              <w:rPr>
                <w:b/>
              </w:rPr>
            </w:pPr>
            <w:r w:rsidRPr="00686E50">
              <w:rPr>
                <w:b/>
              </w:rPr>
              <w:t>Recommendation 79</w:t>
            </w:r>
          </w:p>
          <w:p w14:paraId="2ACBE840" w14:textId="1B57BF6C" w:rsidR="00686E50" w:rsidRDefault="00686E50" w:rsidP="00686E50">
            <w:pPr>
              <w:spacing w:after="160" w:line="259" w:lineRule="auto"/>
              <w:rPr>
                <w:b/>
              </w:rPr>
            </w:pPr>
            <w:r w:rsidRPr="005F66E0">
              <w:t>The committee recommends that, as part of the inquiry into the National Disability Insurance Scheme proposed in Recommendation 6, the effectiveness of the National Disability Insurance Agency's response to previous recommendations of the Joint Standing Committee on the NDIS be assessed in relation to support for autistic people within the justice system.</w:t>
            </w:r>
          </w:p>
        </w:tc>
      </w:tr>
    </w:tbl>
    <w:p w14:paraId="1444DE0A" w14:textId="4144445D" w:rsidR="00CF5CAB" w:rsidRPr="00F851A8" w:rsidRDefault="00CF5CAB" w:rsidP="008337E4"/>
    <w:p w14:paraId="2EB2A916" w14:textId="112480F7" w:rsidR="008337E4" w:rsidRDefault="005F66E0" w:rsidP="008337E4">
      <w:pPr>
        <w:rPr>
          <w:b/>
        </w:rPr>
      </w:pPr>
      <w:r>
        <w:rPr>
          <w:b/>
        </w:rPr>
        <w:t>Support</w:t>
      </w:r>
      <w:r w:rsidR="00294FBC">
        <w:rPr>
          <w:b/>
        </w:rPr>
        <w:t>ed in principle</w:t>
      </w:r>
    </w:p>
    <w:p w14:paraId="0B7228F5" w14:textId="02F3E5ED" w:rsidR="00A2485A" w:rsidRPr="00F851A8" w:rsidRDefault="00A2485A" w:rsidP="00F851A8">
      <w:pPr>
        <w:spacing w:after="240"/>
        <w:rPr>
          <w:sz w:val="22"/>
          <w:szCs w:val="22"/>
        </w:rPr>
      </w:pPr>
      <w:r w:rsidRPr="00A2485A">
        <w:t xml:space="preserve">The Australian </w:t>
      </w:r>
      <w:r w:rsidR="00B62FDB">
        <w:t>G</w:t>
      </w:r>
      <w:r w:rsidRPr="005703DD">
        <w:t xml:space="preserve">overnment </w:t>
      </w:r>
      <w:r w:rsidRPr="005703DD">
        <w:rPr>
          <w:bCs/>
        </w:rPr>
        <w:t>supports</w:t>
      </w:r>
      <w:r w:rsidRPr="005703DD">
        <w:t xml:space="preserve"> this recommendation</w:t>
      </w:r>
      <w:r w:rsidR="00554B80">
        <w:t xml:space="preserve"> in principle.</w:t>
      </w:r>
    </w:p>
    <w:p w14:paraId="70A67761" w14:textId="1A613450" w:rsidR="00686E50" w:rsidRDefault="00A2485A" w:rsidP="00F851A8">
      <w:pPr>
        <w:spacing w:after="240"/>
      </w:pPr>
      <w:r w:rsidRPr="00A2485A">
        <w:t xml:space="preserve">The NDIA, in consultation with </w:t>
      </w:r>
      <w:r w:rsidR="005703DD">
        <w:t xml:space="preserve">the </w:t>
      </w:r>
      <w:r w:rsidRPr="00A2485A">
        <w:t>D</w:t>
      </w:r>
      <w:r w:rsidR="005703DD">
        <w:t xml:space="preserve">epartment of </w:t>
      </w:r>
      <w:r w:rsidRPr="00A2485A">
        <w:t>S</w:t>
      </w:r>
      <w:r w:rsidR="005703DD">
        <w:t xml:space="preserve">ocial </w:t>
      </w:r>
      <w:r w:rsidRPr="00A2485A">
        <w:t>S</w:t>
      </w:r>
      <w:r w:rsidR="005703DD">
        <w:t>ervices</w:t>
      </w:r>
      <w:r w:rsidRPr="00A2485A">
        <w:t xml:space="preserve"> and the states and territories, has implemented actions to improve the </w:t>
      </w:r>
      <w:r w:rsidR="000E3AEF">
        <w:t xml:space="preserve">NDIS </w:t>
      </w:r>
      <w:r w:rsidRPr="00A2485A">
        <w:t xml:space="preserve">interface with justice systems, including the development of operational guidelines for participants or prospective participants in the </w:t>
      </w:r>
      <w:r w:rsidR="005703DD">
        <w:t>justice system and the implement</w:t>
      </w:r>
      <w:r w:rsidRPr="00A2485A">
        <w:t>ation of Justic</w:t>
      </w:r>
      <w:r w:rsidR="002B7F41">
        <w:t>e Liais</w:t>
      </w:r>
      <w:r w:rsidR="00F851A8">
        <w:t>on Officers across the country.</w:t>
      </w:r>
    </w:p>
    <w:tbl>
      <w:tblPr>
        <w:tblStyle w:val="TableGrid"/>
        <w:tblW w:w="0" w:type="auto"/>
        <w:tblLook w:val="04A0" w:firstRow="1" w:lastRow="0" w:firstColumn="1" w:lastColumn="0" w:noHBand="0" w:noVBand="1"/>
        <w:tblDescription w:val="Decorative"/>
      </w:tblPr>
      <w:tblGrid>
        <w:gridCol w:w="9016"/>
      </w:tblGrid>
      <w:tr w:rsidR="00686E50" w14:paraId="2BACA95B" w14:textId="77777777" w:rsidTr="00686E50">
        <w:tc>
          <w:tcPr>
            <w:tcW w:w="9016" w:type="dxa"/>
          </w:tcPr>
          <w:p w14:paraId="5F67A788" w14:textId="77777777" w:rsidR="00686E50" w:rsidRPr="00686E50" w:rsidRDefault="00686E50" w:rsidP="00686E50">
            <w:pPr>
              <w:keepNext/>
              <w:widowControl w:val="0"/>
              <w:spacing w:before="1" w:line="276" w:lineRule="auto"/>
              <w:jc w:val="both"/>
              <w:rPr>
                <w:b/>
              </w:rPr>
            </w:pPr>
            <w:r w:rsidRPr="00686E50">
              <w:rPr>
                <w:b/>
              </w:rPr>
              <w:t>Recommendation 80</w:t>
            </w:r>
          </w:p>
          <w:p w14:paraId="2693080A" w14:textId="77777777" w:rsidR="00686E50" w:rsidRPr="005F66E0" w:rsidRDefault="00686E50" w:rsidP="00686E50">
            <w:pPr>
              <w:keepNext/>
              <w:widowControl w:val="0"/>
              <w:spacing w:before="1" w:line="276" w:lineRule="auto"/>
              <w:rPr>
                <w:b/>
                <w:i/>
              </w:rPr>
            </w:pPr>
            <w:r w:rsidRPr="005F66E0">
              <w:t>The committee recommends that the National Disability Insurance Agency publish:</w:t>
            </w:r>
          </w:p>
          <w:p w14:paraId="64F22B85" w14:textId="77777777" w:rsidR="00686E50" w:rsidRDefault="00686E50" w:rsidP="00686E50">
            <w:pPr>
              <w:pStyle w:val="ListParagraph"/>
              <w:widowControl w:val="0"/>
              <w:numPr>
                <w:ilvl w:val="0"/>
                <w:numId w:val="3"/>
              </w:numPr>
              <w:tabs>
                <w:tab w:val="left" w:pos="1028"/>
              </w:tabs>
              <w:autoSpaceDE w:val="0"/>
              <w:autoSpaceDN w:val="0"/>
              <w:spacing w:before="120"/>
              <w:rPr>
                <w:rFonts w:ascii="Times New Roman" w:hAnsi="Times New Roman" w:cs="Times New Roman"/>
                <w:sz w:val="24"/>
                <w:szCs w:val="24"/>
              </w:rPr>
            </w:pPr>
            <w:r w:rsidRPr="005F66E0">
              <w:rPr>
                <w:rFonts w:ascii="Times New Roman" w:hAnsi="Times New Roman" w:cs="Times New Roman"/>
                <w:sz w:val="24"/>
                <w:szCs w:val="24"/>
              </w:rPr>
              <w:t>the findings of its review into the Complex Support Needs Pathway;</w:t>
            </w:r>
            <w:r w:rsidRPr="005F66E0">
              <w:rPr>
                <w:rFonts w:ascii="Times New Roman" w:hAnsi="Times New Roman" w:cs="Times New Roman"/>
                <w:spacing w:val="-12"/>
                <w:sz w:val="24"/>
                <w:szCs w:val="24"/>
              </w:rPr>
              <w:t xml:space="preserve"> </w:t>
            </w:r>
            <w:r w:rsidRPr="005F66E0">
              <w:rPr>
                <w:rFonts w:ascii="Times New Roman" w:hAnsi="Times New Roman" w:cs="Times New Roman"/>
                <w:sz w:val="24"/>
                <w:szCs w:val="24"/>
              </w:rPr>
              <w:t>and</w:t>
            </w:r>
          </w:p>
          <w:p w14:paraId="6CA90834" w14:textId="79F5C777" w:rsidR="00686E50" w:rsidRPr="00686E50" w:rsidRDefault="00686E50" w:rsidP="00686E50">
            <w:pPr>
              <w:pStyle w:val="ListParagraph"/>
              <w:widowControl w:val="0"/>
              <w:numPr>
                <w:ilvl w:val="0"/>
                <w:numId w:val="3"/>
              </w:numPr>
              <w:tabs>
                <w:tab w:val="left" w:pos="1028"/>
              </w:tabs>
              <w:autoSpaceDE w:val="0"/>
              <w:autoSpaceDN w:val="0"/>
              <w:spacing w:before="120"/>
              <w:rPr>
                <w:rFonts w:ascii="Times New Roman" w:hAnsi="Times New Roman" w:cs="Times New Roman"/>
                <w:sz w:val="24"/>
                <w:szCs w:val="24"/>
              </w:rPr>
            </w:pPr>
            <w:r w:rsidRPr="00210BED">
              <w:rPr>
                <w:rFonts w:ascii="Times New Roman" w:hAnsi="Times New Roman" w:cs="Times New Roman"/>
                <w:sz w:val="24"/>
                <w:szCs w:val="24"/>
              </w:rPr>
              <w:t>the Maintaining Critical Supports Framework, including its policy on provider of last resort</w:t>
            </w:r>
            <w:r w:rsidRPr="00686E50">
              <w:rPr>
                <w:rFonts w:ascii="Times New Roman" w:hAnsi="Times New Roman" w:cs="Times New Roman"/>
                <w:spacing w:val="-3"/>
                <w:sz w:val="24"/>
                <w:szCs w:val="24"/>
              </w:rPr>
              <w:t xml:space="preserve"> </w:t>
            </w:r>
            <w:r w:rsidRPr="00210BED">
              <w:rPr>
                <w:rFonts w:ascii="Times New Roman" w:hAnsi="Times New Roman" w:cs="Times New Roman"/>
                <w:sz w:val="24"/>
                <w:szCs w:val="24"/>
              </w:rPr>
              <w:t>arrangements.</w:t>
            </w:r>
          </w:p>
        </w:tc>
      </w:tr>
    </w:tbl>
    <w:p w14:paraId="5557CC4B" w14:textId="11E22462" w:rsidR="008337E4" w:rsidRPr="00F851A8" w:rsidRDefault="008337E4" w:rsidP="008337E4"/>
    <w:p w14:paraId="3F4EB3F3" w14:textId="73446F50" w:rsidR="00554B80" w:rsidRPr="00554B80" w:rsidRDefault="00294FBC" w:rsidP="008337E4">
      <w:pPr>
        <w:rPr>
          <w:b/>
        </w:rPr>
      </w:pPr>
      <w:r>
        <w:rPr>
          <w:b/>
        </w:rPr>
        <w:t xml:space="preserve">Supported </w:t>
      </w:r>
    </w:p>
    <w:p w14:paraId="12644538" w14:textId="4826B800" w:rsidR="00F851A8" w:rsidRDefault="00BF2CB4" w:rsidP="00686E50">
      <w:r>
        <w:t xml:space="preserve">Proposed changes to the Complex Support Needs Pathway and related initiatives </w:t>
      </w:r>
      <w:r w:rsidR="00C74C33" w:rsidRPr="005A04D8">
        <w:t>will be published</w:t>
      </w:r>
      <w:r>
        <w:t xml:space="preserve"> as</w:t>
      </w:r>
      <w:r w:rsidR="00C74C33" w:rsidRPr="005A04D8">
        <w:t xml:space="preserve"> update</w:t>
      </w:r>
      <w:r>
        <w:t>s to the</w:t>
      </w:r>
      <w:r w:rsidR="00C74C33" w:rsidRPr="005A04D8">
        <w:t xml:space="preserve"> service model </w:t>
      </w:r>
      <w:r>
        <w:t>are</w:t>
      </w:r>
      <w:r w:rsidR="00C74C33" w:rsidRPr="005A04D8">
        <w:t xml:space="preserve"> finalised and endorsed. </w:t>
      </w:r>
    </w:p>
    <w:p w14:paraId="72DA9F85" w14:textId="2B0AD8F4" w:rsidR="008C4147" w:rsidRDefault="00F851A8" w:rsidP="00F851A8">
      <w:pPr>
        <w:spacing w:after="160" w:line="259" w:lineRule="auto"/>
      </w:pPr>
      <w:r>
        <w:br w:type="page"/>
      </w:r>
    </w:p>
    <w:tbl>
      <w:tblPr>
        <w:tblStyle w:val="TableGrid"/>
        <w:tblW w:w="0" w:type="auto"/>
        <w:tblLook w:val="04A0" w:firstRow="1" w:lastRow="0" w:firstColumn="1" w:lastColumn="0" w:noHBand="0" w:noVBand="1"/>
        <w:tblDescription w:val="Decorative"/>
      </w:tblPr>
      <w:tblGrid>
        <w:gridCol w:w="9016"/>
      </w:tblGrid>
      <w:tr w:rsidR="008C4147" w14:paraId="71D74E4F" w14:textId="77777777" w:rsidTr="008C4147">
        <w:tc>
          <w:tcPr>
            <w:tcW w:w="9016" w:type="dxa"/>
          </w:tcPr>
          <w:p w14:paraId="48F8EB06" w14:textId="77777777" w:rsidR="008C4147" w:rsidRPr="008C4147" w:rsidRDefault="008C4147" w:rsidP="008C4147">
            <w:pPr>
              <w:spacing w:line="276" w:lineRule="auto"/>
              <w:jc w:val="both"/>
              <w:rPr>
                <w:b/>
              </w:rPr>
            </w:pPr>
            <w:r w:rsidRPr="008C4147">
              <w:rPr>
                <w:b/>
              </w:rPr>
              <w:lastRenderedPageBreak/>
              <w:t>Recommendation 81</w:t>
            </w:r>
          </w:p>
          <w:p w14:paraId="005FAF5E" w14:textId="105D1FFF" w:rsidR="008C4147" w:rsidRDefault="008C4147" w:rsidP="008C4147">
            <w:r w:rsidRPr="005F66E0">
              <w:t>The committee recommends that, as part of the inquiry into the National Disability Insurance Scheme proposed in Recommendation 6, the effectiveness of the Justice Liaison Officer program be assessed in relation to supporting the transition of autistic people from detention settings into the community.</w:t>
            </w:r>
          </w:p>
        </w:tc>
      </w:tr>
    </w:tbl>
    <w:p w14:paraId="418A5DAE" w14:textId="6CB8E5F3" w:rsidR="002B7F41" w:rsidRPr="006A1CA5" w:rsidRDefault="002B7F41" w:rsidP="008337E4"/>
    <w:p w14:paraId="1C309B95" w14:textId="4123038A" w:rsidR="008337E4" w:rsidRPr="00A537E7" w:rsidRDefault="00710186" w:rsidP="008337E4">
      <w:r w:rsidRPr="00710186">
        <w:rPr>
          <w:b/>
        </w:rPr>
        <w:t>Support</w:t>
      </w:r>
      <w:r w:rsidR="00802E6A">
        <w:rPr>
          <w:b/>
        </w:rPr>
        <w:t>ed</w:t>
      </w:r>
      <w:r w:rsidR="005A1C16">
        <w:rPr>
          <w:b/>
        </w:rPr>
        <w:t xml:space="preserve"> in principle</w:t>
      </w:r>
    </w:p>
    <w:p w14:paraId="1E8D7F93" w14:textId="58E3D9A8" w:rsidR="00F851A8" w:rsidRPr="00F851A8" w:rsidRDefault="00710186" w:rsidP="00F851A8">
      <w:pPr>
        <w:spacing w:after="240"/>
      </w:pPr>
      <w:r w:rsidRPr="00A537E7">
        <w:t xml:space="preserve">The </w:t>
      </w:r>
      <w:r w:rsidR="00B62FDB">
        <w:t xml:space="preserve">Australian </w:t>
      </w:r>
      <w:r w:rsidR="00A537E7">
        <w:t>G</w:t>
      </w:r>
      <w:r w:rsidRPr="00A537E7">
        <w:t xml:space="preserve">overnment </w:t>
      </w:r>
      <w:r w:rsidRPr="00F851A8">
        <w:t>supports</w:t>
      </w:r>
      <w:r w:rsidRPr="00A537E7">
        <w:t xml:space="preserve"> this</w:t>
      </w:r>
      <w:r w:rsidRPr="00710186">
        <w:t xml:space="preserve"> recommendation</w:t>
      </w:r>
      <w:r w:rsidR="005A1C16">
        <w:t xml:space="preserve"> in principle.</w:t>
      </w:r>
    </w:p>
    <w:p w14:paraId="6889E450" w14:textId="059DE6B2" w:rsidR="00710186" w:rsidRPr="00710186" w:rsidRDefault="00710186" w:rsidP="00F851A8">
      <w:pPr>
        <w:spacing w:after="240"/>
      </w:pPr>
      <w:r w:rsidRPr="00710186">
        <w:t>The NDIA continues to work with state and territory governments to improve information sharing to support the effective delivery of both NDIS and mainstream</w:t>
      </w:r>
      <w:r w:rsidR="00F851A8">
        <w:t xml:space="preserve"> services to NDIS participants.</w:t>
      </w:r>
    </w:p>
    <w:p w14:paraId="03709E8B" w14:textId="57AB544A" w:rsidR="008C4147" w:rsidRPr="00710186" w:rsidRDefault="00710186" w:rsidP="00F851A8">
      <w:pPr>
        <w:spacing w:after="240"/>
      </w:pPr>
      <w:r w:rsidRPr="00710186">
        <w:t xml:space="preserve">The </w:t>
      </w:r>
      <w:r w:rsidR="00B62FDB">
        <w:t xml:space="preserve">Australian </w:t>
      </w:r>
      <w:r w:rsidR="00A537E7">
        <w:t>G</w:t>
      </w:r>
      <w:r w:rsidRPr="00710186">
        <w:t>overnment has already developed a national standard practice map to help guide both NDIA and state and territory justice staff working with NDIS participants</w:t>
      </w:r>
      <w:r w:rsidR="00A537E7">
        <w:t>,</w:t>
      </w:r>
      <w:r w:rsidR="00294FBC">
        <w:t xml:space="preserve"> and </w:t>
      </w:r>
      <w:r w:rsidRPr="00710186">
        <w:t>published NDIS Justice Operational Guidelines to assist participants and the community in understanding how the NDIS provides supports for participants in custody and when they leave custody.</w:t>
      </w:r>
    </w:p>
    <w:p w14:paraId="20A48E3E" w14:textId="2F818ED0" w:rsidR="00C74C33" w:rsidRDefault="00710186" w:rsidP="00F851A8">
      <w:pPr>
        <w:spacing w:after="240"/>
      </w:pPr>
      <w:r w:rsidRPr="00710186">
        <w:t>The J</w:t>
      </w:r>
      <w:r w:rsidR="00802E6A">
        <w:t xml:space="preserve">ustice </w:t>
      </w:r>
      <w:r w:rsidRPr="00710186">
        <w:t>L</w:t>
      </w:r>
      <w:r w:rsidR="00802E6A">
        <w:t xml:space="preserve">iaison </w:t>
      </w:r>
      <w:r w:rsidRPr="00710186">
        <w:t>O</w:t>
      </w:r>
      <w:r w:rsidR="00802E6A">
        <w:t>fficer (JLO)</w:t>
      </w:r>
      <w:r w:rsidRPr="00710186">
        <w:t xml:space="preserve"> service offer assists prospective and current NDIS participants who intersect with the justice system. This includes working in partnership with mainstream justice services to ensure NDIS supports and services are delivered in a timely manner to support effective and person-centred transition. </w:t>
      </w:r>
      <w:r w:rsidR="00C74C33">
        <w:t>The NDIA continues to enhance and grow the JLO service offer in consultation with key stakeholders.</w:t>
      </w:r>
    </w:p>
    <w:p w14:paraId="6782173F" w14:textId="2CCBF6B8" w:rsidR="006B4A46" w:rsidRPr="00A537E7" w:rsidRDefault="008C4147" w:rsidP="008C4147">
      <w:pPr>
        <w:spacing w:after="160" w:line="259" w:lineRule="auto"/>
        <w:rPr>
          <w:b/>
        </w:rPr>
      </w:pPr>
      <w:r>
        <w:rPr>
          <w:b/>
        </w:rPr>
        <w:br w:type="page"/>
      </w:r>
    </w:p>
    <w:p w14:paraId="35701AB3" w14:textId="0D5C0FBF" w:rsidR="005E2FCA" w:rsidRDefault="00B65FBB" w:rsidP="00A12901">
      <w:pPr>
        <w:pStyle w:val="Heading1"/>
      </w:pPr>
      <w:r>
        <w:lastRenderedPageBreak/>
        <w:t>Aust</w:t>
      </w:r>
      <w:r w:rsidR="009015DE" w:rsidRPr="00061422">
        <w:t>ralian Greens Senator’s Dissenting Report</w:t>
      </w:r>
    </w:p>
    <w:tbl>
      <w:tblPr>
        <w:tblStyle w:val="TableGrid"/>
        <w:tblW w:w="0" w:type="auto"/>
        <w:tblLook w:val="04A0" w:firstRow="1" w:lastRow="0" w:firstColumn="1" w:lastColumn="0" w:noHBand="0" w:noVBand="1"/>
        <w:tblDescription w:val="Decorative"/>
      </w:tblPr>
      <w:tblGrid>
        <w:gridCol w:w="9016"/>
      </w:tblGrid>
      <w:tr w:rsidR="008C4147" w14:paraId="487AF938" w14:textId="77777777" w:rsidTr="008C4147">
        <w:tc>
          <w:tcPr>
            <w:tcW w:w="9016" w:type="dxa"/>
          </w:tcPr>
          <w:p w14:paraId="265311FE" w14:textId="77777777" w:rsidR="008C4147" w:rsidRPr="008C4147" w:rsidRDefault="008C4147" w:rsidP="008C4147">
            <w:pPr>
              <w:spacing w:line="276" w:lineRule="auto"/>
              <w:rPr>
                <w:b/>
              </w:rPr>
            </w:pPr>
            <w:r w:rsidRPr="008C4147">
              <w:rPr>
                <w:b/>
              </w:rPr>
              <w:t>Recommendation 1</w:t>
            </w:r>
          </w:p>
          <w:p w14:paraId="5BE5F82A" w14:textId="77777777" w:rsidR="008C4147" w:rsidRPr="006B2C4F" w:rsidRDefault="008C4147" w:rsidP="008C4147">
            <w:pPr>
              <w:widowControl w:val="0"/>
              <w:tabs>
                <w:tab w:val="left" w:pos="744"/>
              </w:tabs>
              <w:autoSpaceDE w:val="0"/>
              <w:autoSpaceDN w:val="0"/>
              <w:spacing w:before="61"/>
              <w:ind w:right="719"/>
            </w:pPr>
            <w:r w:rsidRPr="006B2C4F">
              <w:t>That the Australian Government takes urgent steps to ensure that all policies relating to autistic</w:t>
            </w:r>
            <w:r w:rsidRPr="006B2C4F">
              <w:rPr>
                <w:spacing w:val="-1"/>
              </w:rPr>
              <w:t xml:space="preserve"> </w:t>
            </w:r>
            <w:r w:rsidRPr="006B2C4F">
              <w:t>people:</w:t>
            </w:r>
          </w:p>
          <w:p w14:paraId="206E5A9F" w14:textId="77777777" w:rsidR="008C4147" w:rsidRPr="006B2C4F" w:rsidRDefault="008C4147" w:rsidP="008C4147">
            <w:pPr>
              <w:pStyle w:val="ListParagraph"/>
              <w:widowControl w:val="0"/>
              <w:numPr>
                <w:ilvl w:val="0"/>
                <w:numId w:val="3"/>
              </w:numPr>
              <w:tabs>
                <w:tab w:val="left" w:pos="1028"/>
              </w:tabs>
              <w:autoSpaceDE w:val="0"/>
              <w:autoSpaceDN w:val="0"/>
              <w:spacing w:before="120"/>
              <w:rPr>
                <w:rFonts w:ascii="Times New Roman" w:hAnsi="Times New Roman" w:cs="Times New Roman"/>
                <w:sz w:val="24"/>
                <w:szCs w:val="24"/>
              </w:rPr>
            </w:pPr>
            <w:r w:rsidRPr="006B2C4F">
              <w:rPr>
                <w:rFonts w:ascii="Times New Roman" w:hAnsi="Times New Roman" w:cs="Times New Roman"/>
                <w:sz w:val="24"/>
                <w:szCs w:val="24"/>
              </w:rPr>
              <w:t>place the perspective of autistic people at the</w:t>
            </w:r>
            <w:r w:rsidRPr="00BB4E9E">
              <w:rPr>
                <w:rFonts w:ascii="Times New Roman" w:hAnsi="Times New Roman" w:cs="Times New Roman"/>
                <w:sz w:val="24"/>
                <w:szCs w:val="24"/>
              </w:rPr>
              <w:t xml:space="preserve"> </w:t>
            </w:r>
            <w:r w:rsidRPr="006B2C4F">
              <w:rPr>
                <w:rFonts w:ascii="Times New Roman" w:hAnsi="Times New Roman" w:cs="Times New Roman"/>
                <w:sz w:val="24"/>
                <w:szCs w:val="24"/>
              </w:rPr>
              <w:t>centre;</w:t>
            </w:r>
          </w:p>
          <w:p w14:paraId="449746CD" w14:textId="77777777" w:rsidR="008C4147" w:rsidRPr="006B2C4F" w:rsidRDefault="008C4147" w:rsidP="008C4147">
            <w:pPr>
              <w:pStyle w:val="ListParagraph"/>
              <w:widowControl w:val="0"/>
              <w:numPr>
                <w:ilvl w:val="0"/>
                <w:numId w:val="3"/>
              </w:numPr>
              <w:tabs>
                <w:tab w:val="left" w:pos="1028"/>
              </w:tabs>
              <w:autoSpaceDE w:val="0"/>
              <w:autoSpaceDN w:val="0"/>
              <w:spacing w:before="120"/>
              <w:rPr>
                <w:rFonts w:ascii="Times New Roman" w:hAnsi="Times New Roman" w:cs="Times New Roman"/>
                <w:sz w:val="24"/>
                <w:szCs w:val="24"/>
              </w:rPr>
            </w:pPr>
            <w:r w:rsidRPr="006B2C4F">
              <w:rPr>
                <w:rFonts w:ascii="Times New Roman" w:hAnsi="Times New Roman" w:cs="Times New Roman"/>
                <w:sz w:val="24"/>
                <w:szCs w:val="24"/>
              </w:rPr>
              <w:t>are evidence informed and human</w:t>
            </w:r>
            <w:r w:rsidRPr="00BB4E9E">
              <w:rPr>
                <w:rFonts w:ascii="Times New Roman" w:hAnsi="Times New Roman" w:cs="Times New Roman"/>
                <w:sz w:val="24"/>
                <w:szCs w:val="24"/>
              </w:rPr>
              <w:t xml:space="preserve"> </w:t>
            </w:r>
            <w:r w:rsidRPr="006B2C4F">
              <w:rPr>
                <w:rFonts w:ascii="Times New Roman" w:hAnsi="Times New Roman" w:cs="Times New Roman"/>
                <w:sz w:val="24"/>
                <w:szCs w:val="24"/>
              </w:rPr>
              <w:t>rights-based;</w:t>
            </w:r>
          </w:p>
          <w:p w14:paraId="58DF4BA4" w14:textId="77777777" w:rsidR="008C4147" w:rsidRDefault="008C4147" w:rsidP="008C4147">
            <w:pPr>
              <w:pStyle w:val="ListParagraph"/>
              <w:widowControl w:val="0"/>
              <w:numPr>
                <w:ilvl w:val="0"/>
                <w:numId w:val="3"/>
              </w:numPr>
              <w:tabs>
                <w:tab w:val="left" w:pos="1028"/>
              </w:tabs>
              <w:autoSpaceDE w:val="0"/>
              <w:autoSpaceDN w:val="0"/>
              <w:spacing w:before="120"/>
              <w:rPr>
                <w:rFonts w:ascii="Times New Roman" w:hAnsi="Times New Roman" w:cs="Times New Roman"/>
                <w:sz w:val="24"/>
                <w:szCs w:val="24"/>
              </w:rPr>
            </w:pPr>
            <w:r w:rsidRPr="006B2C4F">
              <w:rPr>
                <w:rFonts w:ascii="Times New Roman" w:hAnsi="Times New Roman" w:cs="Times New Roman"/>
                <w:sz w:val="24"/>
                <w:szCs w:val="24"/>
              </w:rPr>
              <w:t>are informed by the social and affirmative model of disability;</w:t>
            </w:r>
            <w:r w:rsidRPr="00BB4E9E">
              <w:rPr>
                <w:rFonts w:ascii="Times New Roman" w:hAnsi="Times New Roman" w:cs="Times New Roman"/>
                <w:sz w:val="24"/>
                <w:szCs w:val="24"/>
              </w:rPr>
              <w:t xml:space="preserve"> </w:t>
            </w:r>
            <w:r w:rsidRPr="006B2C4F">
              <w:rPr>
                <w:rFonts w:ascii="Times New Roman" w:hAnsi="Times New Roman" w:cs="Times New Roman"/>
                <w:sz w:val="24"/>
                <w:szCs w:val="24"/>
              </w:rPr>
              <w:t>and</w:t>
            </w:r>
          </w:p>
          <w:p w14:paraId="35B6FFAA" w14:textId="586C96BA" w:rsidR="008C4147" w:rsidRPr="008C4147" w:rsidRDefault="008C4147" w:rsidP="008C4147">
            <w:pPr>
              <w:pStyle w:val="ListParagraph"/>
              <w:widowControl w:val="0"/>
              <w:numPr>
                <w:ilvl w:val="0"/>
                <w:numId w:val="3"/>
              </w:numPr>
              <w:tabs>
                <w:tab w:val="left" w:pos="1028"/>
              </w:tabs>
              <w:autoSpaceDE w:val="0"/>
              <w:autoSpaceDN w:val="0"/>
              <w:spacing w:before="120"/>
              <w:rPr>
                <w:rFonts w:ascii="Times New Roman" w:hAnsi="Times New Roman" w:cs="Times New Roman"/>
                <w:sz w:val="24"/>
                <w:szCs w:val="24"/>
              </w:rPr>
            </w:pPr>
            <w:r w:rsidRPr="00BB4E9E">
              <w:rPr>
                <w:rFonts w:ascii="Times New Roman" w:hAnsi="Times New Roman" w:cs="Times New Roman"/>
                <w:sz w:val="24"/>
                <w:szCs w:val="24"/>
              </w:rPr>
              <w:t>are aligned with Australia's commitments under the United Nations Convention on the Rights of People with Disabilities.</w:t>
            </w:r>
          </w:p>
        </w:tc>
      </w:tr>
    </w:tbl>
    <w:p w14:paraId="0DA976EB" w14:textId="77777777" w:rsidR="008C4147" w:rsidRPr="000A4524" w:rsidRDefault="008C4147" w:rsidP="005E2FCA"/>
    <w:p w14:paraId="48396EA7" w14:textId="13A7AD13" w:rsidR="006B7C2E" w:rsidRPr="006B7C2E" w:rsidRDefault="00A57920" w:rsidP="009015DE">
      <w:pPr>
        <w:rPr>
          <w:b/>
        </w:rPr>
      </w:pPr>
      <w:r>
        <w:rPr>
          <w:b/>
        </w:rPr>
        <w:t>Support</w:t>
      </w:r>
      <w:r w:rsidR="00802E6A">
        <w:rPr>
          <w:b/>
        </w:rPr>
        <w:t>ed</w:t>
      </w:r>
      <w:r>
        <w:rPr>
          <w:b/>
        </w:rPr>
        <w:t xml:space="preserve"> in principle</w:t>
      </w:r>
    </w:p>
    <w:p w14:paraId="74D6C4A3" w14:textId="244F340E" w:rsidR="00802E6A" w:rsidRDefault="001B710A" w:rsidP="000A4524">
      <w:pPr>
        <w:spacing w:after="240"/>
      </w:pPr>
      <w:r w:rsidRPr="001B710A">
        <w:t xml:space="preserve">The </w:t>
      </w:r>
      <w:r w:rsidR="00B62FDB">
        <w:t>Australian</w:t>
      </w:r>
      <w:r w:rsidR="00B62FDB" w:rsidRPr="001B710A" w:rsidDel="005E2FCA">
        <w:t xml:space="preserve"> </w:t>
      </w:r>
      <w:r w:rsidR="005E2FCA">
        <w:t>Government</w:t>
      </w:r>
      <w:r w:rsidR="005E2FCA" w:rsidRPr="001B710A">
        <w:t xml:space="preserve"> </w:t>
      </w:r>
      <w:r w:rsidRPr="001B710A">
        <w:t xml:space="preserve">considers that the implementation of Recommendation 18 </w:t>
      </w:r>
      <w:r w:rsidR="00802E6A">
        <w:t xml:space="preserve">of the committee’s report </w:t>
      </w:r>
      <w:r w:rsidR="007577DB">
        <w:t>w</w:t>
      </w:r>
      <w:r w:rsidRPr="001B710A">
        <w:t xml:space="preserve">ould be strengthened </w:t>
      </w:r>
      <w:r w:rsidR="007577DB">
        <w:t>by being implemented</w:t>
      </w:r>
      <w:r w:rsidRPr="001B710A">
        <w:t xml:space="preserve"> in conjunction with the elements of Recommendation 1</w:t>
      </w:r>
      <w:r w:rsidR="006B2C4F">
        <w:t xml:space="preserve"> of the Dissenting Report</w:t>
      </w:r>
      <w:r w:rsidRPr="001B710A">
        <w:t xml:space="preserve">. </w:t>
      </w:r>
    </w:p>
    <w:p w14:paraId="5AC5F236" w14:textId="67BC9F83" w:rsidR="00A00283" w:rsidRDefault="001B710A" w:rsidP="000A4524">
      <w:pPr>
        <w:spacing w:after="240"/>
      </w:pPr>
      <w:r w:rsidRPr="001B710A">
        <w:t xml:space="preserve">These elements mirror the Guiding Principles of the </w:t>
      </w:r>
      <w:r w:rsidR="006B7C2E">
        <w:t xml:space="preserve">Closing the Gap </w:t>
      </w:r>
      <w:r w:rsidRPr="001B710A">
        <w:t>Disability Sector Strengthening Plan, and Australia’s Disability Strategy</w:t>
      </w:r>
      <w:r w:rsidR="00802E6A">
        <w:t>,</w:t>
      </w:r>
      <w:r w:rsidRPr="001B710A">
        <w:t xml:space="preserve"> which </w:t>
      </w:r>
      <w:r w:rsidR="00D44A75">
        <w:t>is based on the social model of </w:t>
      </w:r>
      <w:r w:rsidRPr="001B710A">
        <w:t>disability and aligned with the U</w:t>
      </w:r>
      <w:r w:rsidR="006B2C4F">
        <w:t xml:space="preserve">nited </w:t>
      </w:r>
      <w:r w:rsidRPr="001B710A">
        <w:t>N</w:t>
      </w:r>
      <w:r w:rsidR="006B2C4F">
        <w:t>ations</w:t>
      </w:r>
      <w:r w:rsidRPr="001B710A">
        <w:t xml:space="preserve"> Convention on the Rights of Persons with Disabilities.</w:t>
      </w:r>
    </w:p>
    <w:tbl>
      <w:tblPr>
        <w:tblStyle w:val="TableGrid"/>
        <w:tblW w:w="0" w:type="auto"/>
        <w:tblLook w:val="04A0" w:firstRow="1" w:lastRow="0" w:firstColumn="1" w:lastColumn="0" w:noHBand="0" w:noVBand="1"/>
        <w:tblDescription w:val="Decorative"/>
      </w:tblPr>
      <w:tblGrid>
        <w:gridCol w:w="9016"/>
      </w:tblGrid>
      <w:tr w:rsidR="00A00283" w14:paraId="3F68CF29" w14:textId="77777777" w:rsidTr="00A00283">
        <w:tc>
          <w:tcPr>
            <w:tcW w:w="9016" w:type="dxa"/>
          </w:tcPr>
          <w:p w14:paraId="32FF234E" w14:textId="77777777" w:rsidR="00A00283" w:rsidRPr="00A00283" w:rsidRDefault="00A00283" w:rsidP="00A00283">
            <w:pPr>
              <w:spacing w:line="276" w:lineRule="auto"/>
              <w:rPr>
                <w:b/>
              </w:rPr>
            </w:pPr>
            <w:r w:rsidRPr="00A00283">
              <w:rPr>
                <w:b/>
              </w:rPr>
              <w:t>Recommendation 2</w:t>
            </w:r>
          </w:p>
          <w:p w14:paraId="00FA4334" w14:textId="77777777" w:rsidR="00A00283" w:rsidRPr="006B2C4F" w:rsidRDefault="00A00283" w:rsidP="00A00283">
            <w:pPr>
              <w:widowControl w:val="0"/>
              <w:tabs>
                <w:tab w:val="left" w:pos="744"/>
              </w:tabs>
              <w:autoSpaceDE w:val="0"/>
              <w:autoSpaceDN w:val="0"/>
              <w:spacing w:before="60"/>
            </w:pPr>
            <w:r w:rsidRPr="006B2C4F">
              <w:t>That the National Autism</w:t>
            </w:r>
            <w:r w:rsidRPr="006B2C4F">
              <w:rPr>
                <w:spacing w:val="-3"/>
              </w:rPr>
              <w:t xml:space="preserve"> </w:t>
            </w:r>
            <w:r w:rsidRPr="006B2C4F">
              <w:t>Strategy:</w:t>
            </w:r>
          </w:p>
          <w:p w14:paraId="1BF0C988" w14:textId="77777777" w:rsidR="00A00283" w:rsidRPr="006B2C4F" w:rsidRDefault="00A00283" w:rsidP="00A00283">
            <w:pPr>
              <w:pStyle w:val="ListParagraph"/>
              <w:widowControl w:val="0"/>
              <w:numPr>
                <w:ilvl w:val="0"/>
                <w:numId w:val="10"/>
              </w:numPr>
              <w:tabs>
                <w:tab w:val="left" w:pos="1028"/>
              </w:tabs>
              <w:autoSpaceDE w:val="0"/>
              <w:autoSpaceDN w:val="0"/>
              <w:spacing w:before="120"/>
              <w:ind w:right="1102" w:hanging="431"/>
              <w:rPr>
                <w:rFonts w:ascii="Times New Roman" w:hAnsi="Times New Roman" w:cs="Times New Roman"/>
                <w:sz w:val="24"/>
                <w:szCs w:val="24"/>
              </w:rPr>
            </w:pPr>
            <w:r w:rsidRPr="006B2C4F">
              <w:rPr>
                <w:rFonts w:ascii="Times New Roman" w:hAnsi="Times New Roman" w:cs="Times New Roman"/>
                <w:sz w:val="24"/>
                <w:szCs w:val="24"/>
              </w:rPr>
              <w:t>closely align with the National Disability Strategy to recognise the interaction between autism and other disabilities and mental</w:t>
            </w:r>
            <w:r w:rsidRPr="006B2C4F">
              <w:rPr>
                <w:rFonts w:ascii="Times New Roman" w:hAnsi="Times New Roman" w:cs="Times New Roman"/>
                <w:spacing w:val="-22"/>
                <w:sz w:val="24"/>
                <w:szCs w:val="24"/>
              </w:rPr>
              <w:t xml:space="preserve"> </w:t>
            </w:r>
            <w:r w:rsidRPr="006B2C4F">
              <w:rPr>
                <w:rFonts w:ascii="Times New Roman" w:hAnsi="Times New Roman" w:cs="Times New Roman"/>
                <w:sz w:val="24"/>
                <w:szCs w:val="24"/>
              </w:rPr>
              <w:t>illnesses;</w:t>
            </w:r>
          </w:p>
          <w:p w14:paraId="6FC74775" w14:textId="77777777" w:rsidR="00A00283" w:rsidRDefault="00A00283" w:rsidP="00A00283">
            <w:pPr>
              <w:pStyle w:val="ListParagraph"/>
              <w:widowControl w:val="0"/>
              <w:numPr>
                <w:ilvl w:val="0"/>
                <w:numId w:val="10"/>
              </w:numPr>
              <w:tabs>
                <w:tab w:val="left" w:pos="1028"/>
              </w:tabs>
              <w:autoSpaceDE w:val="0"/>
              <w:autoSpaceDN w:val="0"/>
              <w:spacing w:before="1"/>
              <w:ind w:right="794" w:hanging="431"/>
              <w:rPr>
                <w:rFonts w:ascii="Times New Roman" w:hAnsi="Times New Roman" w:cs="Times New Roman"/>
                <w:sz w:val="24"/>
                <w:szCs w:val="24"/>
              </w:rPr>
            </w:pPr>
            <w:r w:rsidRPr="006B2C4F">
              <w:rPr>
                <w:rFonts w:ascii="Times New Roman" w:hAnsi="Times New Roman" w:cs="Times New Roman"/>
                <w:sz w:val="24"/>
                <w:szCs w:val="24"/>
              </w:rPr>
              <w:t>focus on the autistic community and that a separate strategy is considered which focuses on the families and carers to recognise the individual access needs and support requirements of these two groups;</w:t>
            </w:r>
            <w:r w:rsidRPr="006B2C4F">
              <w:rPr>
                <w:rFonts w:ascii="Times New Roman" w:hAnsi="Times New Roman" w:cs="Times New Roman"/>
                <w:spacing w:val="-9"/>
                <w:sz w:val="24"/>
                <w:szCs w:val="24"/>
              </w:rPr>
              <w:t xml:space="preserve"> </w:t>
            </w:r>
            <w:r w:rsidRPr="006B2C4F">
              <w:rPr>
                <w:rFonts w:ascii="Times New Roman" w:hAnsi="Times New Roman" w:cs="Times New Roman"/>
                <w:sz w:val="24"/>
                <w:szCs w:val="24"/>
              </w:rPr>
              <w:t>and</w:t>
            </w:r>
          </w:p>
          <w:p w14:paraId="05343884" w14:textId="187586F6" w:rsidR="00A00283" w:rsidRPr="00A00283" w:rsidRDefault="00A00283" w:rsidP="00A00283">
            <w:pPr>
              <w:pStyle w:val="ListParagraph"/>
              <w:widowControl w:val="0"/>
              <w:numPr>
                <w:ilvl w:val="0"/>
                <w:numId w:val="10"/>
              </w:numPr>
              <w:tabs>
                <w:tab w:val="left" w:pos="1028"/>
              </w:tabs>
              <w:autoSpaceDE w:val="0"/>
              <w:autoSpaceDN w:val="0"/>
              <w:spacing w:before="1"/>
              <w:ind w:right="794" w:hanging="431"/>
              <w:rPr>
                <w:rFonts w:ascii="Times New Roman" w:hAnsi="Times New Roman" w:cs="Times New Roman"/>
                <w:sz w:val="24"/>
                <w:szCs w:val="24"/>
              </w:rPr>
            </w:pPr>
            <w:r w:rsidRPr="00D44A75">
              <w:rPr>
                <w:rFonts w:ascii="Times New Roman" w:hAnsi="Times New Roman" w:cs="Times New Roman"/>
                <w:sz w:val="24"/>
                <w:szCs w:val="24"/>
              </w:rPr>
              <w:t>is created through a process of co-design with autistic people and those they choose as support people, the Disability Royal Commission and stakeholder groups, with the recognition that its design may or may not align with the recommendations of this</w:t>
            </w:r>
            <w:r w:rsidRPr="00A00283">
              <w:rPr>
                <w:rFonts w:ascii="Times New Roman" w:hAnsi="Times New Roman" w:cs="Times New Roman"/>
                <w:spacing w:val="-3"/>
                <w:sz w:val="24"/>
                <w:szCs w:val="24"/>
              </w:rPr>
              <w:t xml:space="preserve"> </w:t>
            </w:r>
            <w:r w:rsidRPr="00D44A75">
              <w:rPr>
                <w:rFonts w:ascii="Times New Roman" w:hAnsi="Times New Roman" w:cs="Times New Roman"/>
                <w:sz w:val="24"/>
                <w:szCs w:val="24"/>
              </w:rPr>
              <w:t>report.</w:t>
            </w:r>
          </w:p>
        </w:tc>
      </w:tr>
    </w:tbl>
    <w:p w14:paraId="7EA896A5" w14:textId="5719A079" w:rsidR="000B2026" w:rsidRPr="000A4524" w:rsidRDefault="000B2026" w:rsidP="000B2026"/>
    <w:p w14:paraId="29A7D281" w14:textId="04B073DD" w:rsidR="006B2C4F" w:rsidRPr="005E2FCA" w:rsidRDefault="006B2C4F" w:rsidP="006B2C4F">
      <w:r w:rsidRPr="00D44A75">
        <w:rPr>
          <w:b/>
        </w:rPr>
        <w:t>Support</w:t>
      </w:r>
      <w:r w:rsidR="00802E6A" w:rsidRPr="00D44A75">
        <w:rPr>
          <w:b/>
        </w:rPr>
        <w:t>ed</w:t>
      </w:r>
      <w:r w:rsidRPr="00D44A75">
        <w:rPr>
          <w:b/>
        </w:rPr>
        <w:t xml:space="preserve"> in principle</w:t>
      </w:r>
    </w:p>
    <w:p w14:paraId="47155C45" w14:textId="77777777" w:rsidR="00A00283" w:rsidRDefault="005E2FCA" w:rsidP="002D1363">
      <w:r>
        <w:t xml:space="preserve">Alignment of a National Autism Strategy to Australia’s Disability Strategy, recognition of the interaction between autism and other disabilities, a focus on the autistic community and families and carers, and a co-design process, </w:t>
      </w:r>
      <w:r w:rsidR="002D1363">
        <w:t>will be</w:t>
      </w:r>
      <w:r w:rsidR="006B2C4F">
        <w:t xml:space="preserve"> considered in the devel</w:t>
      </w:r>
      <w:r w:rsidR="00D44A75">
        <w:t>opment of a </w:t>
      </w:r>
      <w:r w:rsidR="00802E6A">
        <w:t>National Autism S</w:t>
      </w:r>
      <w:r w:rsidR="006B2C4F">
        <w:t xml:space="preserve">trategy. </w:t>
      </w:r>
    </w:p>
    <w:p w14:paraId="56361250" w14:textId="7F63F7B4" w:rsidR="000B2026" w:rsidRPr="0052677E" w:rsidRDefault="00A00283" w:rsidP="0052677E">
      <w:pPr>
        <w:spacing w:after="160" w:line="259" w:lineRule="auto"/>
      </w:pPr>
      <w:r>
        <w:br w:type="page"/>
      </w:r>
    </w:p>
    <w:tbl>
      <w:tblPr>
        <w:tblStyle w:val="TableGrid"/>
        <w:tblW w:w="0" w:type="auto"/>
        <w:tblLook w:val="04A0" w:firstRow="1" w:lastRow="0" w:firstColumn="1" w:lastColumn="0" w:noHBand="0" w:noVBand="1"/>
        <w:tblDescription w:val="Decorative"/>
      </w:tblPr>
      <w:tblGrid>
        <w:gridCol w:w="9016"/>
      </w:tblGrid>
      <w:tr w:rsidR="0052677E" w14:paraId="09E0A6F4" w14:textId="77777777" w:rsidTr="0052677E">
        <w:tc>
          <w:tcPr>
            <w:tcW w:w="9016" w:type="dxa"/>
          </w:tcPr>
          <w:p w14:paraId="438E9293" w14:textId="77777777" w:rsidR="0052677E" w:rsidRPr="0052677E" w:rsidRDefault="0052677E" w:rsidP="0052677E">
            <w:pPr>
              <w:spacing w:line="276" w:lineRule="auto"/>
              <w:jc w:val="both"/>
              <w:rPr>
                <w:b/>
              </w:rPr>
            </w:pPr>
            <w:r w:rsidRPr="0052677E">
              <w:rPr>
                <w:b/>
              </w:rPr>
              <w:lastRenderedPageBreak/>
              <w:t>Recommendation 3</w:t>
            </w:r>
          </w:p>
          <w:p w14:paraId="7BF53AE0" w14:textId="4F99F68E" w:rsidR="0052677E" w:rsidRDefault="0052677E" w:rsidP="0052677E">
            <w:pPr>
              <w:rPr>
                <w:b/>
              </w:rPr>
            </w:pPr>
            <w:r w:rsidRPr="006B2C4F">
              <w:t>That the Australian Government transition to a fully inclusive education system by 2030, through a National Inclusive Education Transition Plan with disabled people, families, disability representative organisations, education experts, teachers, and their</w:t>
            </w:r>
            <w:r w:rsidRPr="006B2C4F">
              <w:rPr>
                <w:spacing w:val="1"/>
              </w:rPr>
              <w:t xml:space="preserve"> </w:t>
            </w:r>
            <w:r w:rsidRPr="006B2C4F">
              <w:t>unions.</w:t>
            </w:r>
          </w:p>
        </w:tc>
      </w:tr>
    </w:tbl>
    <w:p w14:paraId="41955965" w14:textId="77777777" w:rsidR="0052677E" w:rsidRPr="000A4524" w:rsidRDefault="0052677E" w:rsidP="000B2026"/>
    <w:p w14:paraId="5C43D595" w14:textId="77777777" w:rsidR="00C954D7" w:rsidRPr="00C954D7" w:rsidRDefault="00C954D7" w:rsidP="00C954D7">
      <w:pPr>
        <w:rPr>
          <w:b/>
          <w:bCs/>
          <w:sz w:val="22"/>
          <w:szCs w:val="22"/>
        </w:rPr>
      </w:pPr>
      <w:r w:rsidRPr="00C954D7">
        <w:rPr>
          <w:b/>
          <w:bCs/>
        </w:rPr>
        <w:t>Noted</w:t>
      </w:r>
    </w:p>
    <w:p w14:paraId="014526F7" w14:textId="28D335BF" w:rsidR="00802E6A" w:rsidRDefault="00C954D7" w:rsidP="000A4524">
      <w:pPr>
        <w:spacing w:after="240"/>
      </w:pPr>
      <w:r w:rsidRPr="00C954D7">
        <w:t xml:space="preserve">The </w:t>
      </w:r>
      <w:r w:rsidR="00B62FDB">
        <w:t>Australian</w:t>
      </w:r>
      <w:r w:rsidR="00B62FDB" w:rsidRPr="00C954D7" w:rsidDel="002D1363">
        <w:t xml:space="preserve"> </w:t>
      </w:r>
      <w:r w:rsidRPr="00C954D7">
        <w:t xml:space="preserve">Government supports the rights of children and young people with disability to have the same educational opportunities as other school students. </w:t>
      </w:r>
    </w:p>
    <w:p w14:paraId="528FCD7D" w14:textId="56CE9D82" w:rsidR="00802E6A" w:rsidRDefault="00C954D7" w:rsidP="000A4524">
      <w:pPr>
        <w:spacing w:after="240"/>
      </w:pPr>
      <w:r w:rsidRPr="00C954D7">
        <w:t xml:space="preserve">While the </w:t>
      </w:r>
      <w:r w:rsidR="00B62FDB">
        <w:t>Australian</w:t>
      </w:r>
      <w:r w:rsidR="00B62FDB" w:rsidRPr="00C954D7">
        <w:t xml:space="preserve"> </w:t>
      </w:r>
      <w:r w:rsidRPr="00C954D7">
        <w:t>Government provides substantial</w:t>
      </w:r>
      <w:r w:rsidR="00802E6A">
        <w:t xml:space="preserve"> funding for government and non</w:t>
      </w:r>
      <w:r w:rsidR="00802E6A">
        <w:noBreakHyphen/>
      </w:r>
      <w:r w:rsidRPr="00C954D7">
        <w:t>government schools</w:t>
      </w:r>
      <w:r w:rsidR="00802E6A">
        <w:t>,</w:t>
      </w:r>
      <w:r w:rsidRPr="00C954D7">
        <w:t xml:space="preserve"> and works collaboratively with states and territories in developing national priorities for education, it does not have a direc</w:t>
      </w:r>
      <w:r w:rsidR="00D44A75">
        <w:t>t role in the administration or </w:t>
      </w:r>
      <w:r w:rsidRPr="00C954D7">
        <w:t xml:space="preserve">operation of schools. </w:t>
      </w:r>
    </w:p>
    <w:p w14:paraId="3268F161" w14:textId="02BCC28E" w:rsidR="005211B6" w:rsidRDefault="00C954D7" w:rsidP="000A4524">
      <w:pPr>
        <w:spacing w:after="240"/>
      </w:pPr>
      <w:r w:rsidRPr="00C954D7">
        <w:t>Under Australian constitutional arrangements, responsibility for the delivery of school education, including decisions on schooling options for autistic students, rests with the individual education authorities in each state and territory.</w:t>
      </w:r>
    </w:p>
    <w:tbl>
      <w:tblPr>
        <w:tblStyle w:val="TableGrid"/>
        <w:tblW w:w="0" w:type="auto"/>
        <w:tblLook w:val="04A0" w:firstRow="1" w:lastRow="0" w:firstColumn="1" w:lastColumn="0" w:noHBand="0" w:noVBand="1"/>
        <w:tblDescription w:val="Decorative"/>
      </w:tblPr>
      <w:tblGrid>
        <w:gridCol w:w="9016"/>
      </w:tblGrid>
      <w:tr w:rsidR="005211B6" w14:paraId="246B25FE" w14:textId="77777777" w:rsidTr="005211B6">
        <w:tc>
          <w:tcPr>
            <w:tcW w:w="9016" w:type="dxa"/>
          </w:tcPr>
          <w:p w14:paraId="2780E415" w14:textId="77777777" w:rsidR="005211B6" w:rsidRPr="005211B6" w:rsidRDefault="005211B6" w:rsidP="005211B6">
            <w:pPr>
              <w:spacing w:line="276" w:lineRule="auto"/>
              <w:jc w:val="both"/>
              <w:rPr>
                <w:b/>
              </w:rPr>
            </w:pPr>
            <w:r w:rsidRPr="005211B6">
              <w:rPr>
                <w:b/>
              </w:rPr>
              <w:t>Recommendation 4</w:t>
            </w:r>
          </w:p>
          <w:p w14:paraId="34B52577" w14:textId="16BAD379" w:rsidR="005211B6" w:rsidRDefault="005211B6" w:rsidP="005211B6">
            <w:r w:rsidRPr="006B2C4F">
              <w:t>All</w:t>
            </w:r>
            <w:r w:rsidRPr="006B2C4F">
              <w:rPr>
                <w:spacing w:val="-7"/>
              </w:rPr>
              <w:t xml:space="preserve"> </w:t>
            </w:r>
            <w:r w:rsidRPr="006B2C4F">
              <w:t>further</w:t>
            </w:r>
            <w:r w:rsidRPr="006B2C4F">
              <w:rPr>
                <w:spacing w:val="-6"/>
              </w:rPr>
              <w:t xml:space="preserve"> </w:t>
            </w:r>
            <w:r w:rsidRPr="006B2C4F">
              <w:t>research,</w:t>
            </w:r>
            <w:r w:rsidRPr="006B2C4F">
              <w:rPr>
                <w:spacing w:val="-5"/>
              </w:rPr>
              <w:t xml:space="preserve"> </w:t>
            </w:r>
            <w:r w:rsidRPr="006B2C4F">
              <w:t>education</w:t>
            </w:r>
            <w:r w:rsidRPr="006B2C4F">
              <w:rPr>
                <w:spacing w:val="-6"/>
              </w:rPr>
              <w:t xml:space="preserve"> </w:t>
            </w:r>
            <w:r w:rsidRPr="006B2C4F">
              <w:t>and</w:t>
            </w:r>
            <w:r w:rsidRPr="006B2C4F">
              <w:rPr>
                <w:spacing w:val="-5"/>
              </w:rPr>
              <w:t xml:space="preserve"> </w:t>
            </w:r>
            <w:r w:rsidRPr="006B2C4F">
              <w:t>training</w:t>
            </w:r>
            <w:r w:rsidRPr="006B2C4F">
              <w:rPr>
                <w:spacing w:val="-5"/>
              </w:rPr>
              <w:t xml:space="preserve"> </w:t>
            </w:r>
            <w:r w:rsidRPr="006B2C4F">
              <w:t>relating</w:t>
            </w:r>
            <w:r w:rsidRPr="006B2C4F">
              <w:rPr>
                <w:spacing w:val="-4"/>
              </w:rPr>
              <w:t xml:space="preserve"> </w:t>
            </w:r>
            <w:r w:rsidRPr="006B2C4F">
              <w:t>to</w:t>
            </w:r>
            <w:r w:rsidRPr="006B2C4F">
              <w:rPr>
                <w:spacing w:val="-5"/>
              </w:rPr>
              <w:t xml:space="preserve"> </w:t>
            </w:r>
            <w:r w:rsidRPr="006B2C4F">
              <w:t>autistic</w:t>
            </w:r>
            <w:r w:rsidRPr="006B2C4F">
              <w:rPr>
                <w:spacing w:val="-6"/>
              </w:rPr>
              <w:t xml:space="preserve"> </w:t>
            </w:r>
            <w:r w:rsidRPr="006B2C4F">
              <w:t>people</w:t>
            </w:r>
            <w:r w:rsidRPr="006B2C4F">
              <w:rPr>
                <w:spacing w:val="-6"/>
              </w:rPr>
              <w:t xml:space="preserve"> </w:t>
            </w:r>
            <w:r>
              <w:t>should be co</w:t>
            </w:r>
            <w:r>
              <w:noBreakHyphen/>
            </w:r>
            <w:r w:rsidRPr="006B2C4F">
              <w:t>designed and co-delivered by autistic</w:t>
            </w:r>
            <w:r w:rsidRPr="006B2C4F">
              <w:rPr>
                <w:spacing w:val="-2"/>
              </w:rPr>
              <w:t xml:space="preserve"> </w:t>
            </w:r>
            <w:r w:rsidRPr="006B2C4F">
              <w:t>people.</w:t>
            </w:r>
          </w:p>
        </w:tc>
      </w:tr>
    </w:tbl>
    <w:p w14:paraId="056D5858" w14:textId="6FE74D29" w:rsidR="00A40FA6" w:rsidRPr="000A4524" w:rsidRDefault="00A40FA6" w:rsidP="000B2026"/>
    <w:p w14:paraId="6A4545D3" w14:textId="2D59C5CC" w:rsidR="000B2026" w:rsidRPr="001B710A" w:rsidRDefault="001B710A" w:rsidP="000B2026">
      <w:pPr>
        <w:rPr>
          <w:b/>
        </w:rPr>
      </w:pPr>
      <w:r w:rsidRPr="001B710A">
        <w:rPr>
          <w:b/>
        </w:rPr>
        <w:t>Support</w:t>
      </w:r>
      <w:r w:rsidR="00802E6A">
        <w:rPr>
          <w:b/>
        </w:rPr>
        <w:t>ed</w:t>
      </w:r>
    </w:p>
    <w:p w14:paraId="7E10BE61" w14:textId="2704DE24" w:rsidR="00373847" w:rsidRDefault="009B79C9" w:rsidP="000A4524">
      <w:pPr>
        <w:spacing w:after="240"/>
      </w:pPr>
      <w:r w:rsidRPr="009B79C9">
        <w:t xml:space="preserve">The </w:t>
      </w:r>
      <w:r>
        <w:t xml:space="preserve">Australian </w:t>
      </w:r>
      <w:r w:rsidRPr="009B79C9">
        <w:t xml:space="preserve">Government </w:t>
      </w:r>
      <w:r>
        <w:t>supports</w:t>
      </w:r>
      <w:r w:rsidRPr="009B79C9">
        <w:t xml:space="preserve"> the development of a whole-of-life plan for all </w:t>
      </w:r>
      <w:r w:rsidR="00A83FC9">
        <w:t>autistic Australians</w:t>
      </w:r>
      <w:r>
        <w:t xml:space="preserve">, including the importance of </w:t>
      </w:r>
      <w:r w:rsidR="00C460E7" w:rsidRPr="006B2C4F">
        <w:t>further</w:t>
      </w:r>
      <w:r w:rsidR="00C460E7" w:rsidRPr="006B2C4F">
        <w:rPr>
          <w:spacing w:val="-6"/>
        </w:rPr>
        <w:t xml:space="preserve"> </w:t>
      </w:r>
      <w:r w:rsidR="00C460E7" w:rsidRPr="006B2C4F">
        <w:t>research,</w:t>
      </w:r>
      <w:r w:rsidR="00C460E7" w:rsidRPr="006B2C4F">
        <w:rPr>
          <w:spacing w:val="-5"/>
        </w:rPr>
        <w:t xml:space="preserve"> </w:t>
      </w:r>
      <w:r w:rsidR="00C460E7" w:rsidRPr="006B2C4F">
        <w:t>education</w:t>
      </w:r>
      <w:r w:rsidR="00C460E7" w:rsidRPr="006B2C4F">
        <w:rPr>
          <w:spacing w:val="-6"/>
        </w:rPr>
        <w:t xml:space="preserve"> </w:t>
      </w:r>
      <w:r w:rsidR="00C460E7" w:rsidRPr="006B2C4F">
        <w:t>and</w:t>
      </w:r>
      <w:r w:rsidR="00C460E7" w:rsidRPr="006B2C4F">
        <w:rPr>
          <w:spacing w:val="-5"/>
        </w:rPr>
        <w:t xml:space="preserve"> </w:t>
      </w:r>
      <w:r w:rsidR="00C460E7" w:rsidRPr="006B2C4F">
        <w:t>training</w:t>
      </w:r>
      <w:r w:rsidR="00C460E7" w:rsidRPr="006B2C4F">
        <w:rPr>
          <w:spacing w:val="-5"/>
        </w:rPr>
        <w:t xml:space="preserve"> </w:t>
      </w:r>
      <w:r w:rsidR="00C460E7" w:rsidRPr="006B2C4F">
        <w:t>relating</w:t>
      </w:r>
      <w:r w:rsidR="00C460E7" w:rsidRPr="006B2C4F">
        <w:rPr>
          <w:spacing w:val="-4"/>
        </w:rPr>
        <w:t xml:space="preserve"> </w:t>
      </w:r>
      <w:r w:rsidR="00C460E7" w:rsidRPr="006B2C4F">
        <w:t>to</w:t>
      </w:r>
      <w:r w:rsidR="00C460E7" w:rsidRPr="006B2C4F">
        <w:rPr>
          <w:spacing w:val="-5"/>
        </w:rPr>
        <w:t xml:space="preserve"> </w:t>
      </w:r>
      <w:r w:rsidR="00C460E7" w:rsidRPr="006B2C4F">
        <w:t>autistic</w:t>
      </w:r>
      <w:r w:rsidR="00C460E7" w:rsidRPr="006B2C4F">
        <w:rPr>
          <w:spacing w:val="-6"/>
        </w:rPr>
        <w:t xml:space="preserve"> </w:t>
      </w:r>
      <w:r w:rsidR="00C460E7" w:rsidRPr="006B2C4F">
        <w:t>people</w:t>
      </w:r>
      <w:r w:rsidR="00C460E7" w:rsidRPr="006B2C4F">
        <w:rPr>
          <w:spacing w:val="-6"/>
        </w:rPr>
        <w:t xml:space="preserve"> </w:t>
      </w:r>
      <w:r w:rsidR="00C460E7" w:rsidRPr="006B2C4F">
        <w:t>be</w:t>
      </w:r>
      <w:r>
        <w:t>ing</w:t>
      </w:r>
      <w:r w:rsidR="00C460E7" w:rsidRPr="006B2C4F">
        <w:t xml:space="preserve"> co-designed and co-delivered by autistic</w:t>
      </w:r>
      <w:r w:rsidR="00C460E7" w:rsidRPr="006B2C4F">
        <w:rPr>
          <w:spacing w:val="-2"/>
        </w:rPr>
        <w:t xml:space="preserve"> </w:t>
      </w:r>
      <w:r w:rsidR="00C460E7" w:rsidRPr="006B2C4F">
        <w:t>people</w:t>
      </w:r>
      <w:r>
        <w:t xml:space="preserve">. </w:t>
      </w:r>
    </w:p>
    <w:p w14:paraId="5524A08F" w14:textId="7794CD89" w:rsidR="00802E6A" w:rsidRDefault="001B710A" w:rsidP="000A4524">
      <w:pPr>
        <w:spacing w:after="240"/>
      </w:pPr>
      <w:r w:rsidRPr="001B710A">
        <w:t>Any representative or authoritative body establi</w:t>
      </w:r>
      <w:r w:rsidR="00802E6A">
        <w:t>shed in conjunction with the co</w:t>
      </w:r>
      <w:r w:rsidR="00802E6A">
        <w:noBreakHyphen/>
      </w:r>
      <w:r w:rsidRPr="001B710A">
        <w:t xml:space="preserve">design, development and/or implementation of a National Autism Strategy </w:t>
      </w:r>
      <w:r w:rsidR="007577DB">
        <w:t>would also</w:t>
      </w:r>
      <w:r w:rsidRPr="001B710A">
        <w:t xml:space="preserve"> align with the Commonwealth’s commitment to Priority Reform One: Formal Partnerships and Shared Decision-Making of the National Agreement on Closing the Gap. </w:t>
      </w:r>
    </w:p>
    <w:p w14:paraId="26CE6FB2" w14:textId="3747C68A" w:rsidR="005211B6" w:rsidRDefault="001B710A" w:rsidP="000A4524">
      <w:pPr>
        <w:spacing w:after="240"/>
      </w:pPr>
      <w:r w:rsidRPr="001B710A">
        <w:t xml:space="preserve">Representation of First Nations people with disability </w:t>
      </w:r>
      <w:r w:rsidR="007577DB">
        <w:t>w</w:t>
      </w:r>
      <w:r w:rsidRPr="001B710A">
        <w:t>ould be meaningful, gender sensitive, culturally appropriate and determined in consultation with key stakeholders, including but not limited to the First Peoples Disability Network.</w:t>
      </w:r>
    </w:p>
    <w:tbl>
      <w:tblPr>
        <w:tblStyle w:val="TableGrid"/>
        <w:tblW w:w="0" w:type="auto"/>
        <w:tblLook w:val="04A0" w:firstRow="1" w:lastRow="0" w:firstColumn="1" w:lastColumn="0" w:noHBand="0" w:noVBand="1"/>
        <w:tblDescription w:val="Decorative"/>
      </w:tblPr>
      <w:tblGrid>
        <w:gridCol w:w="9016"/>
      </w:tblGrid>
      <w:tr w:rsidR="005211B6" w14:paraId="5B2766E7" w14:textId="77777777" w:rsidTr="005211B6">
        <w:tc>
          <w:tcPr>
            <w:tcW w:w="9016" w:type="dxa"/>
          </w:tcPr>
          <w:p w14:paraId="5AFA8EA5" w14:textId="77777777" w:rsidR="00C86FD3" w:rsidRPr="00C86FD3" w:rsidRDefault="00C86FD3" w:rsidP="00C86FD3">
            <w:pPr>
              <w:spacing w:line="276" w:lineRule="auto"/>
              <w:jc w:val="both"/>
              <w:rPr>
                <w:b/>
              </w:rPr>
            </w:pPr>
            <w:r w:rsidRPr="00C86FD3">
              <w:rPr>
                <w:b/>
              </w:rPr>
              <w:t>Recommendation 5</w:t>
            </w:r>
          </w:p>
          <w:p w14:paraId="5664268A" w14:textId="593F413B" w:rsidR="005211B6" w:rsidRDefault="00C86FD3" w:rsidP="00C86FD3">
            <w:r w:rsidRPr="000B2026">
              <w:t>That</w:t>
            </w:r>
            <w:r w:rsidRPr="000B2026">
              <w:rPr>
                <w:spacing w:val="-9"/>
              </w:rPr>
              <w:t xml:space="preserve"> </w:t>
            </w:r>
            <w:r w:rsidRPr="006B2C4F">
              <w:t>an</w:t>
            </w:r>
            <w:r w:rsidRPr="006B2C4F">
              <w:rPr>
                <w:spacing w:val="-9"/>
              </w:rPr>
              <w:t xml:space="preserve"> </w:t>
            </w:r>
            <w:r w:rsidRPr="006B2C4F">
              <w:t>easy-read</w:t>
            </w:r>
            <w:r w:rsidRPr="006B2C4F">
              <w:rPr>
                <w:spacing w:val="-9"/>
              </w:rPr>
              <w:t xml:space="preserve"> </w:t>
            </w:r>
            <w:r w:rsidRPr="006B2C4F">
              <w:t>version</w:t>
            </w:r>
            <w:r w:rsidRPr="006B2C4F">
              <w:rPr>
                <w:spacing w:val="-8"/>
              </w:rPr>
              <w:t xml:space="preserve"> </w:t>
            </w:r>
            <w:r w:rsidRPr="006B2C4F">
              <w:t>of</w:t>
            </w:r>
            <w:r w:rsidRPr="006B2C4F">
              <w:rPr>
                <w:spacing w:val="-8"/>
              </w:rPr>
              <w:t xml:space="preserve"> </w:t>
            </w:r>
            <w:r w:rsidRPr="006B2C4F">
              <w:t>the</w:t>
            </w:r>
            <w:r w:rsidRPr="006B2C4F">
              <w:rPr>
                <w:spacing w:val="-9"/>
              </w:rPr>
              <w:t xml:space="preserve"> </w:t>
            </w:r>
            <w:r w:rsidRPr="006B2C4F">
              <w:t>committee's</w:t>
            </w:r>
            <w:r w:rsidRPr="006B2C4F">
              <w:rPr>
                <w:spacing w:val="-6"/>
              </w:rPr>
              <w:t xml:space="preserve"> </w:t>
            </w:r>
            <w:r w:rsidRPr="006B2C4F">
              <w:t>report</w:t>
            </w:r>
            <w:r w:rsidRPr="006B2C4F">
              <w:rPr>
                <w:spacing w:val="-9"/>
              </w:rPr>
              <w:t xml:space="preserve"> </w:t>
            </w:r>
            <w:r w:rsidRPr="006B2C4F">
              <w:t>and</w:t>
            </w:r>
            <w:r w:rsidRPr="006B2C4F">
              <w:rPr>
                <w:spacing w:val="-9"/>
              </w:rPr>
              <w:t xml:space="preserve"> </w:t>
            </w:r>
            <w:r w:rsidRPr="006B2C4F">
              <w:t>this</w:t>
            </w:r>
            <w:r w:rsidRPr="006B2C4F">
              <w:rPr>
                <w:spacing w:val="-9"/>
              </w:rPr>
              <w:t xml:space="preserve"> </w:t>
            </w:r>
            <w:r w:rsidRPr="006B2C4F">
              <w:t>dissenting</w:t>
            </w:r>
            <w:r w:rsidRPr="006B2C4F">
              <w:rPr>
                <w:spacing w:val="-8"/>
              </w:rPr>
              <w:t xml:space="preserve"> </w:t>
            </w:r>
            <w:r w:rsidRPr="006B2C4F">
              <w:t>report be distributed so that it is widely accessible to the autistic</w:t>
            </w:r>
            <w:r w:rsidRPr="006B2C4F">
              <w:rPr>
                <w:spacing w:val="-11"/>
              </w:rPr>
              <w:t xml:space="preserve"> </w:t>
            </w:r>
            <w:r w:rsidRPr="006B2C4F">
              <w:t>community.</w:t>
            </w:r>
          </w:p>
        </w:tc>
      </w:tr>
    </w:tbl>
    <w:p w14:paraId="0D5B5747" w14:textId="4036D1C8" w:rsidR="000B2026" w:rsidRPr="00C86FD3" w:rsidRDefault="000B2026" w:rsidP="000B2026"/>
    <w:p w14:paraId="07211CD5" w14:textId="77777777" w:rsidR="000A4524" w:rsidRDefault="000A4524" w:rsidP="000A4524">
      <w:pPr>
        <w:rPr>
          <w:b/>
        </w:rPr>
      </w:pPr>
      <w:r>
        <w:rPr>
          <w:b/>
        </w:rPr>
        <w:t>Noted</w:t>
      </w:r>
    </w:p>
    <w:p w14:paraId="7F644E30" w14:textId="370961AE" w:rsidR="001478E4" w:rsidRPr="000A4524" w:rsidRDefault="00DE5A8E" w:rsidP="000A4524">
      <w:r w:rsidRPr="00802E6A">
        <w:t xml:space="preserve">This is </w:t>
      </w:r>
      <w:r>
        <w:t>a matter f</w:t>
      </w:r>
      <w:r w:rsidR="00802E6A">
        <w:t>or consideration of the c</w:t>
      </w:r>
      <w:r w:rsidR="000A4524">
        <w:t>ommittee.</w:t>
      </w:r>
      <w:bookmarkStart w:id="3" w:name="_GoBack"/>
      <w:bookmarkEnd w:id="3"/>
    </w:p>
    <w:sectPr w:rsidR="001478E4" w:rsidRPr="000A4524" w:rsidSect="00852A94">
      <w:footerReference w:type="default" r:id="rId22"/>
      <w:pgSz w:w="11906" w:h="16838"/>
      <w:pgMar w:top="56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0285" w14:textId="77777777" w:rsidR="00CB6F8B" w:rsidRDefault="00CB6F8B" w:rsidP="00C01B0B">
      <w:r>
        <w:separator/>
      </w:r>
    </w:p>
  </w:endnote>
  <w:endnote w:type="continuationSeparator" w:id="0">
    <w:p w14:paraId="378438B4" w14:textId="77777777" w:rsidR="00CB6F8B" w:rsidRDefault="00CB6F8B" w:rsidP="00C0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58498"/>
      <w:docPartObj>
        <w:docPartGallery w:val="Page Numbers (Bottom of Page)"/>
        <w:docPartUnique/>
      </w:docPartObj>
    </w:sdtPr>
    <w:sdtEndPr>
      <w:rPr>
        <w:noProof/>
      </w:rPr>
    </w:sdtEndPr>
    <w:sdtContent>
      <w:p w14:paraId="3A981943" w14:textId="1150FFCF" w:rsidR="00CB6F8B" w:rsidRDefault="00CB6F8B">
        <w:pPr>
          <w:pStyle w:val="Footer"/>
          <w:jc w:val="right"/>
        </w:pPr>
        <w:r>
          <w:fldChar w:fldCharType="begin"/>
        </w:r>
        <w:r>
          <w:instrText xml:space="preserve"> PAGE   \* MERGEFORMAT </w:instrText>
        </w:r>
        <w:r>
          <w:fldChar w:fldCharType="separate"/>
        </w:r>
        <w:r w:rsidR="00C449BB">
          <w:rPr>
            <w:noProof/>
          </w:rPr>
          <w:t>57</w:t>
        </w:r>
        <w:r>
          <w:rPr>
            <w:noProof/>
          </w:rPr>
          <w:fldChar w:fldCharType="end"/>
        </w:r>
      </w:p>
    </w:sdtContent>
  </w:sdt>
  <w:p w14:paraId="470C0ED3" w14:textId="77777777" w:rsidR="00CB6F8B" w:rsidRDefault="00CB6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12147" w14:textId="77777777" w:rsidR="00CB6F8B" w:rsidRDefault="00CB6F8B" w:rsidP="00C01B0B">
      <w:r>
        <w:separator/>
      </w:r>
    </w:p>
  </w:footnote>
  <w:footnote w:type="continuationSeparator" w:id="0">
    <w:p w14:paraId="36C8F23A" w14:textId="77777777" w:rsidR="00CB6F8B" w:rsidRDefault="00CB6F8B" w:rsidP="00C01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2FE"/>
    <w:multiLevelType w:val="hybridMultilevel"/>
    <w:tmpl w:val="F6665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63F26"/>
    <w:multiLevelType w:val="multilevel"/>
    <w:tmpl w:val="2E48FC44"/>
    <w:lvl w:ilvl="0">
      <w:start w:val="6"/>
      <w:numFmt w:val="decimal"/>
      <w:lvlText w:val="%1"/>
      <w:lvlJc w:val="left"/>
      <w:pPr>
        <w:ind w:left="744" w:hanging="624"/>
      </w:pPr>
      <w:rPr>
        <w:lang w:val="en-AU" w:eastAsia="en-US" w:bidi="ar-SA"/>
      </w:rPr>
    </w:lvl>
    <w:lvl w:ilvl="1">
      <w:start w:val="138"/>
      <w:numFmt w:val="decimal"/>
      <w:lvlText w:val="%1.%2"/>
      <w:lvlJc w:val="left"/>
      <w:pPr>
        <w:ind w:left="744" w:hanging="624"/>
      </w:pPr>
      <w:rPr>
        <w:rFonts w:ascii="Times New Roman" w:eastAsia="Palatino Linotype" w:hAnsi="Times New Roman" w:cs="Times New Roman" w:hint="default"/>
        <w:b/>
        <w:bCs/>
        <w:w w:val="100"/>
        <w:sz w:val="20"/>
        <w:szCs w:val="20"/>
        <w:lang w:val="en-AU" w:eastAsia="en-US" w:bidi="ar-SA"/>
      </w:rPr>
    </w:lvl>
    <w:lvl w:ilvl="2">
      <w:numFmt w:val="bullet"/>
      <w:lvlText w:val="•"/>
      <w:lvlJc w:val="left"/>
      <w:pPr>
        <w:ind w:left="2565" w:hanging="624"/>
      </w:pPr>
      <w:rPr>
        <w:lang w:val="en-AU" w:eastAsia="en-US" w:bidi="ar-SA"/>
      </w:rPr>
    </w:lvl>
    <w:lvl w:ilvl="3">
      <w:numFmt w:val="bullet"/>
      <w:lvlText w:val="•"/>
      <w:lvlJc w:val="left"/>
      <w:pPr>
        <w:ind w:left="3477" w:hanging="624"/>
      </w:pPr>
      <w:rPr>
        <w:lang w:val="en-AU" w:eastAsia="en-US" w:bidi="ar-SA"/>
      </w:rPr>
    </w:lvl>
    <w:lvl w:ilvl="4">
      <w:numFmt w:val="bullet"/>
      <w:lvlText w:val="•"/>
      <w:lvlJc w:val="left"/>
      <w:pPr>
        <w:ind w:left="4390" w:hanging="624"/>
      </w:pPr>
      <w:rPr>
        <w:lang w:val="en-AU" w:eastAsia="en-US" w:bidi="ar-SA"/>
      </w:rPr>
    </w:lvl>
    <w:lvl w:ilvl="5">
      <w:numFmt w:val="bullet"/>
      <w:lvlText w:val="•"/>
      <w:lvlJc w:val="left"/>
      <w:pPr>
        <w:ind w:left="5303" w:hanging="624"/>
      </w:pPr>
      <w:rPr>
        <w:lang w:val="en-AU" w:eastAsia="en-US" w:bidi="ar-SA"/>
      </w:rPr>
    </w:lvl>
    <w:lvl w:ilvl="6">
      <w:numFmt w:val="bullet"/>
      <w:lvlText w:val="•"/>
      <w:lvlJc w:val="left"/>
      <w:pPr>
        <w:ind w:left="6215" w:hanging="624"/>
      </w:pPr>
      <w:rPr>
        <w:lang w:val="en-AU" w:eastAsia="en-US" w:bidi="ar-SA"/>
      </w:rPr>
    </w:lvl>
    <w:lvl w:ilvl="7">
      <w:numFmt w:val="bullet"/>
      <w:lvlText w:val="•"/>
      <w:lvlJc w:val="left"/>
      <w:pPr>
        <w:ind w:left="7128" w:hanging="624"/>
      </w:pPr>
      <w:rPr>
        <w:lang w:val="en-AU" w:eastAsia="en-US" w:bidi="ar-SA"/>
      </w:rPr>
    </w:lvl>
    <w:lvl w:ilvl="8">
      <w:numFmt w:val="bullet"/>
      <w:lvlText w:val="•"/>
      <w:lvlJc w:val="left"/>
      <w:pPr>
        <w:ind w:left="8041" w:hanging="624"/>
      </w:pPr>
      <w:rPr>
        <w:lang w:val="en-AU" w:eastAsia="en-US" w:bidi="ar-SA"/>
      </w:rPr>
    </w:lvl>
  </w:abstractNum>
  <w:abstractNum w:abstractNumId="2" w15:restartNumberingAfterBreak="0">
    <w:nsid w:val="02F05586"/>
    <w:multiLevelType w:val="hybridMultilevel"/>
    <w:tmpl w:val="81D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D675F"/>
    <w:multiLevelType w:val="multilevel"/>
    <w:tmpl w:val="D3C244A4"/>
    <w:lvl w:ilvl="0">
      <w:start w:val="1"/>
      <w:numFmt w:val="bullet"/>
      <w:lvlText w:val=""/>
      <w:lvlJc w:val="left"/>
      <w:pPr>
        <w:ind w:left="744" w:hanging="624"/>
      </w:pPr>
      <w:rPr>
        <w:rFonts w:ascii="Symbol" w:hAnsi="Symbol" w:hint="default"/>
        <w:lang w:val="en-AU" w:eastAsia="en-US" w:bidi="ar-SA"/>
      </w:rPr>
    </w:lvl>
    <w:lvl w:ilvl="1">
      <w:start w:val="6"/>
      <w:numFmt w:val="decimal"/>
      <w:lvlText w:val="%1.%2"/>
      <w:lvlJc w:val="left"/>
      <w:pPr>
        <w:ind w:left="744" w:hanging="624"/>
      </w:pPr>
      <w:rPr>
        <w:w w:val="100"/>
        <w:lang w:val="en-AU" w:eastAsia="en-US" w:bidi="ar-SA"/>
      </w:rPr>
    </w:lvl>
    <w:lvl w:ilvl="2">
      <w:start w:val="1"/>
      <w:numFmt w:val="bullet"/>
      <w:lvlText w:val=""/>
      <w:lvlJc w:val="left"/>
      <w:pPr>
        <w:ind w:left="1536" w:hanging="281"/>
      </w:pPr>
      <w:rPr>
        <w:rFonts w:ascii="Symbol" w:hAnsi="Symbol" w:hint="default"/>
        <w:w w:val="100"/>
        <w:sz w:val="22"/>
        <w:szCs w:val="22"/>
        <w:lang w:val="en-AU" w:eastAsia="en-US" w:bidi="ar-SA"/>
      </w:rPr>
    </w:lvl>
    <w:lvl w:ilvl="3">
      <w:numFmt w:val="bullet"/>
      <w:lvlText w:val="•"/>
      <w:lvlJc w:val="left"/>
      <w:pPr>
        <w:ind w:left="2580" w:hanging="281"/>
      </w:pPr>
      <w:rPr>
        <w:lang w:val="en-AU" w:eastAsia="en-US" w:bidi="ar-SA"/>
      </w:rPr>
    </w:lvl>
    <w:lvl w:ilvl="4">
      <w:numFmt w:val="bullet"/>
      <w:lvlText w:val="•"/>
      <w:lvlJc w:val="left"/>
      <w:pPr>
        <w:ind w:left="3621" w:hanging="281"/>
      </w:pPr>
      <w:rPr>
        <w:lang w:val="en-AU" w:eastAsia="en-US" w:bidi="ar-SA"/>
      </w:rPr>
    </w:lvl>
    <w:lvl w:ilvl="5">
      <w:numFmt w:val="bullet"/>
      <w:lvlText w:val="•"/>
      <w:lvlJc w:val="left"/>
      <w:pPr>
        <w:ind w:left="4662" w:hanging="281"/>
      </w:pPr>
      <w:rPr>
        <w:lang w:val="en-AU" w:eastAsia="en-US" w:bidi="ar-SA"/>
      </w:rPr>
    </w:lvl>
    <w:lvl w:ilvl="6">
      <w:numFmt w:val="bullet"/>
      <w:lvlText w:val="•"/>
      <w:lvlJc w:val="left"/>
      <w:pPr>
        <w:ind w:left="5703" w:hanging="281"/>
      </w:pPr>
      <w:rPr>
        <w:lang w:val="en-AU" w:eastAsia="en-US" w:bidi="ar-SA"/>
      </w:rPr>
    </w:lvl>
    <w:lvl w:ilvl="7">
      <w:numFmt w:val="bullet"/>
      <w:lvlText w:val="•"/>
      <w:lvlJc w:val="left"/>
      <w:pPr>
        <w:ind w:left="6744" w:hanging="281"/>
      </w:pPr>
      <w:rPr>
        <w:lang w:val="en-AU" w:eastAsia="en-US" w:bidi="ar-SA"/>
      </w:rPr>
    </w:lvl>
    <w:lvl w:ilvl="8">
      <w:numFmt w:val="bullet"/>
      <w:lvlText w:val="•"/>
      <w:lvlJc w:val="left"/>
      <w:pPr>
        <w:ind w:left="7784" w:hanging="281"/>
      </w:pPr>
      <w:rPr>
        <w:lang w:val="en-AU" w:eastAsia="en-US" w:bidi="ar-SA"/>
      </w:rPr>
    </w:lvl>
  </w:abstractNum>
  <w:abstractNum w:abstractNumId="4" w15:restartNumberingAfterBreak="0">
    <w:nsid w:val="19086B51"/>
    <w:multiLevelType w:val="multilevel"/>
    <w:tmpl w:val="943076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E84B13"/>
    <w:multiLevelType w:val="multilevel"/>
    <w:tmpl w:val="A2120888"/>
    <w:lvl w:ilvl="0">
      <w:start w:val="1"/>
      <w:numFmt w:val="decimal"/>
      <w:lvlText w:val="%1"/>
      <w:lvlJc w:val="left"/>
      <w:pPr>
        <w:ind w:left="744" w:hanging="624"/>
      </w:pPr>
      <w:rPr>
        <w:lang w:val="en-AU" w:eastAsia="en-US" w:bidi="ar-SA"/>
      </w:rPr>
    </w:lvl>
    <w:lvl w:ilvl="1">
      <w:start w:val="6"/>
      <w:numFmt w:val="decimal"/>
      <w:lvlText w:val="%1.%2"/>
      <w:lvlJc w:val="left"/>
      <w:pPr>
        <w:ind w:left="744" w:hanging="624"/>
      </w:pPr>
      <w:rPr>
        <w:w w:val="100"/>
        <w:lang w:val="en-AU" w:eastAsia="en-US" w:bidi="ar-SA"/>
      </w:rPr>
    </w:lvl>
    <w:lvl w:ilvl="2">
      <w:start w:val="1"/>
      <w:numFmt w:val="bullet"/>
      <w:lvlText w:val=""/>
      <w:lvlJc w:val="left"/>
      <w:pPr>
        <w:ind w:left="1536" w:hanging="281"/>
      </w:pPr>
      <w:rPr>
        <w:rFonts w:ascii="Symbol" w:hAnsi="Symbol" w:hint="default"/>
        <w:w w:val="100"/>
        <w:sz w:val="22"/>
        <w:szCs w:val="22"/>
        <w:lang w:val="en-AU" w:eastAsia="en-US" w:bidi="ar-SA"/>
      </w:rPr>
    </w:lvl>
    <w:lvl w:ilvl="3">
      <w:numFmt w:val="bullet"/>
      <w:lvlText w:val="•"/>
      <w:lvlJc w:val="left"/>
      <w:pPr>
        <w:ind w:left="2580" w:hanging="281"/>
      </w:pPr>
      <w:rPr>
        <w:lang w:val="en-AU" w:eastAsia="en-US" w:bidi="ar-SA"/>
      </w:rPr>
    </w:lvl>
    <w:lvl w:ilvl="4">
      <w:numFmt w:val="bullet"/>
      <w:lvlText w:val="•"/>
      <w:lvlJc w:val="left"/>
      <w:pPr>
        <w:ind w:left="3621" w:hanging="281"/>
      </w:pPr>
      <w:rPr>
        <w:lang w:val="en-AU" w:eastAsia="en-US" w:bidi="ar-SA"/>
      </w:rPr>
    </w:lvl>
    <w:lvl w:ilvl="5">
      <w:numFmt w:val="bullet"/>
      <w:lvlText w:val="•"/>
      <w:lvlJc w:val="left"/>
      <w:pPr>
        <w:ind w:left="4662" w:hanging="281"/>
      </w:pPr>
      <w:rPr>
        <w:lang w:val="en-AU" w:eastAsia="en-US" w:bidi="ar-SA"/>
      </w:rPr>
    </w:lvl>
    <w:lvl w:ilvl="6">
      <w:numFmt w:val="bullet"/>
      <w:lvlText w:val="•"/>
      <w:lvlJc w:val="left"/>
      <w:pPr>
        <w:ind w:left="5703" w:hanging="281"/>
      </w:pPr>
      <w:rPr>
        <w:lang w:val="en-AU" w:eastAsia="en-US" w:bidi="ar-SA"/>
      </w:rPr>
    </w:lvl>
    <w:lvl w:ilvl="7">
      <w:numFmt w:val="bullet"/>
      <w:lvlText w:val="•"/>
      <w:lvlJc w:val="left"/>
      <w:pPr>
        <w:ind w:left="6744" w:hanging="281"/>
      </w:pPr>
      <w:rPr>
        <w:lang w:val="en-AU" w:eastAsia="en-US" w:bidi="ar-SA"/>
      </w:rPr>
    </w:lvl>
    <w:lvl w:ilvl="8">
      <w:numFmt w:val="bullet"/>
      <w:lvlText w:val="•"/>
      <w:lvlJc w:val="left"/>
      <w:pPr>
        <w:ind w:left="7784" w:hanging="281"/>
      </w:pPr>
      <w:rPr>
        <w:lang w:val="en-AU" w:eastAsia="en-US" w:bidi="ar-SA"/>
      </w:rPr>
    </w:lvl>
  </w:abstractNum>
  <w:abstractNum w:abstractNumId="6" w15:restartNumberingAfterBreak="0">
    <w:nsid w:val="3DDE27FA"/>
    <w:multiLevelType w:val="hybridMultilevel"/>
    <w:tmpl w:val="F17CA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7878EB"/>
    <w:multiLevelType w:val="hybridMultilevel"/>
    <w:tmpl w:val="60366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F778B2"/>
    <w:multiLevelType w:val="hybridMultilevel"/>
    <w:tmpl w:val="4DAE6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8A51AA"/>
    <w:multiLevelType w:val="hybridMultilevel"/>
    <w:tmpl w:val="7F6E2668"/>
    <w:lvl w:ilvl="0" w:tplc="0C090001">
      <w:start w:val="1"/>
      <w:numFmt w:val="bullet"/>
      <w:lvlText w:val=""/>
      <w:lvlJc w:val="left"/>
      <w:pPr>
        <w:ind w:left="1569" w:hanging="360"/>
      </w:pPr>
      <w:rPr>
        <w:rFonts w:ascii="Symbol" w:hAnsi="Symbol" w:hint="default"/>
      </w:rPr>
    </w:lvl>
    <w:lvl w:ilvl="1" w:tplc="0C090003">
      <w:start w:val="1"/>
      <w:numFmt w:val="bullet"/>
      <w:lvlText w:val="o"/>
      <w:lvlJc w:val="left"/>
      <w:pPr>
        <w:ind w:left="2289" w:hanging="360"/>
      </w:pPr>
      <w:rPr>
        <w:rFonts w:ascii="Courier New" w:hAnsi="Courier New" w:cs="Courier New" w:hint="default"/>
      </w:rPr>
    </w:lvl>
    <w:lvl w:ilvl="2" w:tplc="0C090005">
      <w:start w:val="1"/>
      <w:numFmt w:val="bullet"/>
      <w:lvlText w:val=""/>
      <w:lvlJc w:val="left"/>
      <w:pPr>
        <w:ind w:left="3009" w:hanging="360"/>
      </w:pPr>
      <w:rPr>
        <w:rFonts w:ascii="Wingdings" w:hAnsi="Wingdings" w:hint="default"/>
      </w:rPr>
    </w:lvl>
    <w:lvl w:ilvl="3" w:tplc="0C090001">
      <w:start w:val="1"/>
      <w:numFmt w:val="bullet"/>
      <w:lvlText w:val=""/>
      <w:lvlJc w:val="left"/>
      <w:pPr>
        <w:ind w:left="3729" w:hanging="360"/>
      </w:pPr>
      <w:rPr>
        <w:rFonts w:ascii="Symbol" w:hAnsi="Symbol" w:hint="default"/>
      </w:rPr>
    </w:lvl>
    <w:lvl w:ilvl="4" w:tplc="0C090003">
      <w:start w:val="1"/>
      <w:numFmt w:val="bullet"/>
      <w:lvlText w:val="o"/>
      <w:lvlJc w:val="left"/>
      <w:pPr>
        <w:ind w:left="4449" w:hanging="360"/>
      </w:pPr>
      <w:rPr>
        <w:rFonts w:ascii="Courier New" w:hAnsi="Courier New" w:cs="Courier New" w:hint="default"/>
      </w:rPr>
    </w:lvl>
    <w:lvl w:ilvl="5" w:tplc="0C090005">
      <w:start w:val="1"/>
      <w:numFmt w:val="bullet"/>
      <w:lvlText w:val=""/>
      <w:lvlJc w:val="left"/>
      <w:pPr>
        <w:ind w:left="5169" w:hanging="360"/>
      </w:pPr>
      <w:rPr>
        <w:rFonts w:ascii="Wingdings" w:hAnsi="Wingdings" w:hint="default"/>
      </w:rPr>
    </w:lvl>
    <w:lvl w:ilvl="6" w:tplc="0C090001">
      <w:start w:val="1"/>
      <w:numFmt w:val="bullet"/>
      <w:lvlText w:val=""/>
      <w:lvlJc w:val="left"/>
      <w:pPr>
        <w:ind w:left="5889" w:hanging="360"/>
      </w:pPr>
      <w:rPr>
        <w:rFonts w:ascii="Symbol" w:hAnsi="Symbol" w:hint="default"/>
      </w:rPr>
    </w:lvl>
    <w:lvl w:ilvl="7" w:tplc="0C090003">
      <w:start w:val="1"/>
      <w:numFmt w:val="bullet"/>
      <w:lvlText w:val="o"/>
      <w:lvlJc w:val="left"/>
      <w:pPr>
        <w:ind w:left="6609" w:hanging="360"/>
      </w:pPr>
      <w:rPr>
        <w:rFonts w:ascii="Courier New" w:hAnsi="Courier New" w:cs="Courier New" w:hint="default"/>
      </w:rPr>
    </w:lvl>
    <w:lvl w:ilvl="8" w:tplc="0C090005">
      <w:start w:val="1"/>
      <w:numFmt w:val="bullet"/>
      <w:lvlText w:val=""/>
      <w:lvlJc w:val="left"/>
      <w:pPr>
        <w:ind w:left="7329" w:hanging="360"/>
      </w:pPr>
      <w:rPr>
        <w:rFonts w:ascii="Wingdings" w:hAnsi="Wingdings" w:hint="default"/>
      </w:rPr>
    </w:lvl>
  </w:abstractNum>
  <w:abstractNum w:abstractNumId="10" w15:restartNumberingAfterBreak="0">
    <w:nsid w:val="5CAC015D"/>
    <w:multiLevelType w:val="hybridMultilevel"/>
    <w:tmpl w:val="52225CA2"/>
    <w:lvl w:ilvl="0" w:tplc="9542724C">
      <w:start w:val="8"/>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67C6472"/>
    <w:multiLevelType w:val="hybridMultilevel"/>
    <w:tmpl w:val="86FA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DD6611"/>
    <w:multiLevelType w:val="hybridMultilevel"/>
    <w:tmpl w:val="FCA2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3E0790"/>
    <w:multiLevelType w:val="hybridMultilevel"/>
    <w:tmpl w:val="ACB8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0F5670"/>
    <w:multiLevelType w:val="hybridMultilevel"/>
    <w:tmpl w:val="461E5C9C"/>
    <w:lvl w:ilvl="0" w:tplc="0C090001">
      <w:start w:val="1"/>
      <w:numFmt w:val="bullet"/>
      <w:lvlText w:val=""/>
      <w:lvlJc w:val="left"/>
      <w:pPr>
        <w:ind w:left="389" w:hanging="360"/>
      </w:pPr>
      <w:rPr>
        <w:rFonts w:ascii="Symbol" w:hAnsi="Symbol" w:hint="default"/>
      </w:rPr>
    </w:lvl>
    <w:lvl w:ilvl="1" w:tplc="0C090003">
      <w:start w:val="1"/>
      <w:numFmt w:val="bullet"/>
      <w:lvlText w:val="o"/>
      <w:lvlJc w:val="left"/>
      <w:pPr>
        <w:ind w:left="1109" w:hanging="360"/>
      </w:pPr>
      <w:rPr>
        <w:rFonts w:ascii="Courier New" w:hAnsi="Courier New" w:cs="Courier New" w:hint="default"/>
      </w:rPr>
    </w:lvl>
    <w:lvl w:ilvl="2" w:tplc="0C090005">
      <w:start w:val="1"/>
      <w:numFmt w:val="bullet"/>
      <w:lvlText w:val=""/>
      <w:lvlJc w:val="left"/>
      <w:pPr>
        <w:ind w:left="1829" w:hanging="360"/>
      </w:pPr>
      <w:rPr>
        <w:rFonts w:ascii="Wingdings" w:hAnsi="Wingdings" w:hint="default"/>
      </w:rPr>
    </w:lvl>
    <w:lvl w:ilvl="3" w:tplc="0C090001">
      <w:start w:val="1"/>
      <w:numFmt w:val="bullet"/>
      <w:lvlText w:val=""/>
      <w:lvlJc w:val="left"/>
      <w:pPr>
        <w:ind w:left="2549" w:hanging="360"/>
      </w:pPr>
      <w:rPr>
        <w:rFonts w:ascii="Symbol" w:hAnsi="Symbol" w:hint="default"/>
      </w:rPr>
    </w:lvl>
    <w:lvl w:ilvl="4" w:tplc="0C090003">
      <w:start w:val="1"/>
      <w:numFmt w:val="bullet"/>
      <w:lvlText w:val="o"/>
      <w:lvlJc w:val="left"/>
      <w:pPr>
        <w:ind w:left="3269" w:hanging="360"/>
      </w:pPr>
      <w:rPr>
        <w:rFonts w:ascii="Courier New" w:hAnsi="Courier New" w:cs="Courier New" w:hint="default"/>
      </w:rPr>
    </w:lvl>
    <w:lvl w:ilvl="5" w:tplc="0C090005">
      <w:start w:val="1"/>
      <w:numFmt w:val="bullet"/>
      <w:lvlText w:val=""/>
      <w:lvlJc w:val="left"/>
      <w:pPr>
        <w:ind w:left="3989" w:hanging="360"/>
      </w:pPr>
      <w:rPr>
        <w:rFonts w:ascii="Wingdings" w:hAnsi="Wingdings" w:hint="default"/>
      </w:rPr>
    </w:lvl>
    <w:lvl w:ilvl="6" w:tplc="0C090001">
      <w:start w:val="1"/>
      <w:numFmt w:val="bullet"/>
      <w:lvlText w:val=""/>
      <w:lvlJc w:val="left"/>
      <w:pPr>
        <w:ind w:left="4709" w:hanging="360"/>
      </w:pPr>
      <w:rPr>
        <w:rFonts w:ascii="Symbol" w:hAnsi="Symbol" w:hint="default"/>
      </w:rPr>
    </w:lvl>
    <w:lvl w:ilvl="7" w:tplc="0C090003">
      <w:start w:val="1"/>
      <w:numFmt w:val="bullet"/>
      <w:lvlText w:val="o"/>
      <w:lvlJc w:val="left"/>
      <w:pPr>
        <w:ind w:left="5429" w:hanging="360"/>
      </w:pPr>
      <w:rPr>
        <w:rFonts w:ascii="Courier New" w:hAnsi="Courier New" w:cs="Courier New" w:hint="default"/>
      </w:rPr>
    </w:lvl>
    <w:lvl w:ilvl="8" w:tplc="0C090005">
      <w:start w:val="1"/>
      <w:numFmt w:val="bullet"/>
      <w:lvlText w:val=""/>
      <w:lvlJc w:val="left"/>
      <w:pPr>
        <w:ind w:left="6149" w:hanging="360"/>
      </w:pPr>
      <w:rPr>
        <w:rFonts w:ascii="Wingdings" w:hAnsi="Wingdings" w:hint="default"/>
      </w:rPr>
    </w:lvl>
  </w:abstractNum>
  <w:abstractNum w:abstractNumId="15" w15:restartNumberingAfterBreak="0">
    <w:nsid w:val="7E4F7045"/>
    <w:multiLevelType w:val="hybridMultilevel"/>
    <w:tmpl w:val="A112CF94"/>
    <w:lvl w:ilvl="0" w:tplc="520870AE">
      <w:start w:val="1"/>
      <w:numFmt w:val="bullet"/>
      <w:lvlText w:val=""/>
      <w:lvlJc w:val="left"/>
      <w:pPr>
        <w:ind w:left="360" w:hanging="360"/>
      </w:pPr>
      <w:rPr>
        <w:rFonts w:ascii="Symbol" w:hAnsi="Symbol" w:hint="default"/>
        <w:color w:val="auto"/>
      </w:rPr>
    </w:lvl>
    <w:lvl w:ilvl="1" w:tplc="0C09000F">
      <w:start w:val="1"/>
      <w:numFmt w:val="decimal"/>
      <w:lvlText w:val="%2."/>
      <w:lvlJc w:val="left"/>
      <w:pPr>
        <w:ind w:left="1080" w:hanging="360"/>
      </w:pPr>
    </w:lvl>
    <w:lvl w:ilvl="2" w:tplc="0C09000F">
      <w:start w:val="1"/>
      <w:numFmt w:val="decimal"/>
      <w:lvlText w:val="%3."/>
      <w:lvlJc w:val="left"/>
      <w:pPr>
        <w:ind w:left="1800" w:hanging="360"/>
      </w:p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4"/>
  </w:num>
  <w:num w:numId="2">
    <w:abstractNumId w:val="1"/>
    <w:lvlOverride w:ilvl="0">
      <w:startOverride w:val="6"/>
    </w:lvlOverride>
    <w:lvlOverride w:ilvl="1">
      <w:startOverride w:val="138"/>
    </w:lvlOverride>
    <w:lvlOverride w:ilvl="2"/>
    <w:lvlOverride w:ilvl="3"/>
    <w:lvlOverride w:ilvl="4"/>
    <w:lvlOverride w:ilvl="5"/>
    <w:lvlOverride w:ilvl="6"/>
    <w:lvlOverride w:ilvl="7"/>
    <w:lvlOverride w:ilvl="8"/>
  </w:num>
  <w:num w:numId="3">
    <w:abstractNumId w:val="13"/>
  </w:num>
  <w:num w:numId="4">
    <w:abstractNumId w:val="12"/>
  </w:num>
  <w:num w:numId="5">
    <w:abstractNumId w:val="2"/>
  </w:num>
  <w:num w:numId="6">
    <w:abstractNumId w:val="6"/>
  </w:num>
  <w:num w:numId="7">
    <w:abstractNumId w:val="0"/>
  </w:num>
  <w:num w:numId="8">
    <w:abstractNumId w:val="10"/>
  </w:num>
  <w:num w:numId="9">
    <w:abstractNumId w:val="5"/>
  </w:num>
  <w:num w:numId="10">
    <w:abstractNumId w:val="3"/>
  </w:num>
  <w:num w:numId="11">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9"/>
  </w:num>
  <w:num w:numId="13">
    <w:abstractNumId w:val="8"/>
  </w:num>
  <w:num w:numId="14">
    <w:abstractNumId w:val="7"/>
  </w:num>
  <w:num w:numId="15">
    <w:abstractNumId w:val="11"/>
  </w:num>
  <w:num w:numId="16">
    <w:abstractNumId w:val="0"/>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01"/>
    <w:rsid w:val="00000CB8"/>
    <w:rsid w:val="00001927"/>
    <w:rsid w:val="00001E37"/>
    <w:rsid w:val="000023BE"/>
    <w:rsid w:val="00002B80"/>
    <w:rsid w:val="00003546"/>
    <w:rsid w:val="00004F6C"/>
    <w:rsid w:val="0000670A"/>
    <w:rsid w:val="00010B23"/>
    <w:rsid w:val="000117A2"/>
    <w:rsid w:val="00012486"/>
    <w:rsid w:val="0002054B"/>
    <w:rsid w:val="00020B6F"/>
    <w:rsid w:val="00022290"/>
    <w:rsid w:val="000246D9"/>
    <w:rsid w:val="00025FFF"/>
    <w:rsid w:val="00027CE2"/>
    <w:rsid w:val="00031FAF"/>
    <w:rsid w:val="0003270B"/>
    <w:rsid w:val="0003303E"/>
    <w:rsid w:val="00034D40"/>
    <w:rsid w:val="00036801"/>
    <w:rsid w:val="000378FD"/>
    <w:rsid w:val="00037E5E"/>
    <w:rsid w:val="00040604"/>
    <w:rsid w:val="000407B3"/>
    <w:rsid w:val="00040E11"/>
    <w:rsid w:val="00041289"/>
    <w:rsid w:val="000414D4"/>
    <w:rsid w:val="000445A8"/>
    <w:rsid w:val="00044800"/>
    <w:rsid w:val="000508F2"/>
    <w:rsid w:val="000509A0"/>
    <w:rsid w:val="000511DE"/>
    <w:rsid w:val="0005294A"/>
    <w:rsid w:val="0005581B"/>
    <w:rsid w:val="00056068"/>
    <w:rsid w:val="00057950"/>
    <w:rsid w:val="00060169"/>
    <w:rsid w:val="00060D97"/>
    <w:rsid w:val="00061422"/>
    <w:rsid w:val="00061C31"/>
    <w:rsid w:val="00062101"/>
    <w:rsid w:val="0006259D"/>
    <w:rsid w:val="00062EE5"/>
    <w:rsid w:val="00064003"/>
    <w:rsid w:val="00065A76"/>
    <w:rsid w:val="000708CD"/>
    <w:rsid w:val="00070D1A"/>
    <w:rsid w:val="000718AA"/>
    <w:rsid w:val="0007670D"/>
    <w:rsid w:val="0007689A"/>
    <w:rsid w:val="0008044F"/>
    <w:rsid w:val="00081EB9"/>
    <w:rsid w:val="000847DE"/>
    <w:rsid w:val="00087234"/>
    <w:rsid w:val="0008748F"/>
    <w:rsid w:val="00087CFD"/>
    <w:rsid w:val="00087DA3"/>
    <w:rsid w:val="000A2C3D"/>
    <w:rsid w:val="000A42F6"/>
    <w:rsid w:val="000A4524"/>
    <w:rsid w:val="000A61D9"/>
    <w:rsid w:val="000A7C3C"/>
    <w:rsid w:val="000B2026"/>
    <w:rsid w:val="000B4CC7"/>
    <w:rsid w:val="000B6EA4"/>
    <w:rsid w:val="000C01CD"/>
    <w:rsid w:val="000C10B9"/>
    <w:rsid w:val="000C1AF5"/>
    <w:rsid w:val="000C4947"/>
    <w:rsid w:val="000D2794"/>
    <w:rsid w:val="000E0128"/>
    <w:rsid w:val="000E2C77"/>
    <w:rsid w:val="000E3AEF"/>
    <w:rsid w:val="000E3CC2"/>
    <w:rsid w:val="000E3DE6"/>
    <w:rsid w:val="000E6F50"/>
    <w:rsid w:val="000E74F1"/>
    <w:rsid w:val="000F09F9"/>
    <w:rsid w:val="000F1238"/>
    <w:rsid w:val="000F2DB9"/>
    <w:rsid w:val="000F3DE2"/>
    <w:rsid w:val="001039FF"/>
    <w:rsid w:val="0010624F"/>
    <w:rsid w:val="00110808"/>
    <w:rsid w:val="00114066"/>
    <w:rsid w:val="00116BBE"/>
    <w:rsid w:val="0011760A"/>
    <w:rsid w:val="00117652"/>
    <w:rsid w:val="00117B3E"/>
    <w:rsid w:val="00121399"/>
    <w:rsid w:val="00124A3F"/>
    <w:rsid w:val="00126482"/>
    <w:rsid w:val="00126C08"/>
    <w:rsid w:val="00130346"/>
    <w:rsid w:val="001304DB"/>
    <w:rsid w:val="00132952"/>
    <w:rsid w:val="00134931"/>
    <w:rsid w:val="00135DA8"/>
    <w:rsid w:val="001365A4"/>
    <w:rsid w:val="00142C32"/>
    <w:rsid w:val="00142E94"/>
    <w:rsid w:val="00142F2B"/>
    <w:rsid w:val="001432ED"/>
    <w:rsid w:val="00144A8C"/>
    <w:rsid w:val="001470B5"/>
    <w:rsid w:val="001478E4"/>
    <w:rsid w:val="001520F4"/>
    <w:rsid w:val="00153431"/>
    <w:rsid w:val="00153515"/>
    <w:rsid w:val="00155A34"/>
    <w:rsid w:val="00160698"/>
    <w:rsid w:val="00161F50"/>
    <w:rsid w:val="00162EE6"/>
    <w:rsid w:val="00165156"/>
    <w:rsid w:val="001652A5"/>
    <w:rsid w:val="00172F92"/>
    <w:rsid w:val="00176370"/>
    <w:rsid w:val="0017681C"/>
    <w:rsid w:val="00176A70"/>
    <w:rsid w:val="00184879"/>
    <w:rsid w:val="00184F1A"/>
    <w:rsid w:val="00185680"/>
    <w:rsid w:val="001874E0"/>
    <w:rsid w:val="00187B3F"/>
    <w:rsid w:val="00191A85"/>
    <w:rsid w:val="0019325C"/>
    <w:rsid w:val="001938AD"/>
    <w:rsid w:val="001A136B"/>
    <w:rsid w:val="001A250D"/>
    <w:rsid w:val="001A440E"/>
    <w:rsid w:val="001B05D6"/>
    <w:rsid w:val="001B2945"/>
    <w:rsid w:val="001B6B32"/>
    <w:rsid w:val="001B710A"/>
    <w:rsid w:val="001B7A04"/>
    <w:rsid w:val="001C0C65"/>
    <w:rsid w:val="001C35BF"/>
    <w:rsid w:val="001C62B6"/>
    <w:rsid w:val="001C6646"/>
    <w:rsid w:val="001C7853"/>
    <w:rsid w:val="001D0442"/>
    <w:rsid w:val="001D0C43"/>
    <w:rsid w:val="001D36C6"/>
    <w:rsid w:val="001D4088"/>
    <w:rsid w:val="001D6382"/>
    <w:rsid w:val="001E2F73"/>
    <w:rsid w:val="001E3287"/>
    <w:rsid w:val="001E600E"/>
    <w:rsid w:val="001E6A65"/>
    <w:rsid w:val="001F16F3"/>
    <w:rsid w:val="001F40AA"/>
    <w:rsid w:val="001F4DB3"/>
    <w:rsid w:val="001F60D7"/>
    <w:rsid w:val="001F6A13"/>
    <w:rsid w:val="001F7B92"/>
    <w:rsid w:val="001F7C4A"/>
    <w:rsid w:val="002002DF"/>
    <w:rsid w:val="00200DEF"/>
    <w:rsid w:val="00205709"/>
    <w:rsid w:val="00206C05"/>
    <w:rsid w:val="00210BED"/>
    <w:rsid w:val="00212A4D"/>
    <w:rsid w:val="00214F42"/>
    <w:rsid w:val="00215B0B"/>
    <w:rsid w:val="002172E7"/>
    <w:rsid w:val="00220B06"/>
    <w:rsid w:val="0022725F"/>
    <w:rsid w:val="00232B60"/>
    <w:rsid w:val="00236901"/>
    <w:rsid w:val="00236E80"/>
    <w:rsid w:val="00237219"/>
    <w:rsid w:val="00240CAD"/>
    <w:rsid w:val="00241246"/>
    <w:rsid w:val="00243381"/>
    <w:rsid w:val="002442A8"/>
    <w:rsid w:val="00244CFB"/>
    <w:rsid w:val="002457D5"/>
    <w:rsid w:val="002479EA"/>
    <w:rsid w:val="00251B3D"/>
    <w:rsid w:val="00253A05"/>
    <w:rsid w:val="00255DA0"/>
    <w:rsid w:val="00257649"/>
    <w:rsid w:val="0026006E"/>
    <w:rsid w:val="0026131B"/>
    <w:rsid w:val="002629A5"/>
    <w:rsid w:val="002640F9"/>
    <w:rsid w:val="002653FC"/>
    <w:rsid w:val="00273F4F"/>
    <w:rsid w:val="002752BF"/>
    <w:rsid w:val="002764A5"/>
    <w:rsid w:val="00283EBB"/>
    <w:rsid w:val="0028417B"/>
    <w:rsid w:val="00287207"/>
    <w:rsid w:val="00290965"/>
    <w:rsid w:val="00291B3B"/>
    <w:rsid w:val="00292EBB"/>
    <w:rsid w:val="00294D09"/>
    <w:rsid w:val="00294FBC"/>
    <w:rsid w:val="00295365"/>
    <w:rsid w:val="00295A5A"/>
    <w:rsid w:val="00296341"/>
    <w:rsid w:val="00297518"/>
    <w:rsid w:val="002A3FC9"/>
    <w:rsid w:val="002A40CD"/>
    <w:rsid w:val="002A526B"/>
    <w:rsid w:val="002A5CB0"/>
    <w:rsid w:val="002A5D8F"/>
    <w:rsid w:val="002A70DF"/>
    <w:rsid w:val="002A744B"/>
    <w:rsid w:val="002A7C77"/>
    <w:rsid w:val="002B433E"/>
    <w:rsid w:val="002B67EA"/>
    <w:rsid w:val="002B6FB5"/>
    <w:rsid w:val="002B7F41"/>
    <w:rsid w:val="002C0797"/>
    <w:rsid w:val="002C2522"/>
    <w:rsid w:val="002C699D"/>
    <w:rsid w:val="002D1160"/>
    <w:rsid w:val="002D1363"/>
    <w:rsid w:val="002D1A21"/>
    <w:rsid w:val="002D367F"/>
    <w:rsid w:val="002D4409"/>
    <w:rsid w:val="002D4D01"/>
    <w:rsid w:val="002D5191"/>
    <w:rsid w:val="002D5F32"/>
    <w:rsid w:val="002D7322"/>
    <w:rsid w:val="002E1136"/>
    <w:rsid w:val="002E191D"/>
    <w:rsid w:val="002E25EB"/>
    <w:rsid w:val="002E33FB"/>
    <w:rsid w:val="002E36ED"/>
    <w:rsid w:val="002F1AB6"/>
    <w:rsid w:val="002F291C"/>
    <w:rsid w:val="002F3700"/>
    <w:rsid w:val="002F7963"/>
    <w:rsid w:val="0030141D"/>
    <w:rsid w:val="00301623"/>
    <w:rsid w:val="003018E9"/>
    <w:rsid w:val="00301970"/>
    <w:rsid w:val="00302ED4"/>
    <w:rsid w:val="0030551A"/>
    <w:rsid w:val="00305889"/>
    <w:rsid w:val="00306B0D"/>
    <w:rsid w:val="00306DA7"/>
    <w:rsid w:val="00307253"/>
    <w:rsid w:val="003079AF"/>
    <w:rsid w:val="00315A00"/>
    <w:rsid w:val="003178A9"/>
    <w:rsid w:val="003215B4"/>
    <w:rsid w:val="00322605"/>
    <w:rsid w:val="003242A8"/>
    <w:rsid w:val="00324D05"/>
    <w:rsid w:val="003250F7"/>
    <w:rsid w:val="00327527"/>
    <w:rsid w:val="00327FAD"/>
    <w:rsid w:val="00330441"/>
    <w:rsid w:val="00330E03"/>
    <w:rsid w:val="00332188"/>
    <w:rsid w:val="00333E9D"/>
    <w:rsid w:val="0033524B"/>
    <w:rsid w:val="00335741"/>
    <w:rsid w:val="00335781"/>
    <w:rsid w:val="00336D91"/>
    <w:rsid w:val="00340F54"/>
    <w:rsid w:val="00341128"/>
    <w:rsid w:val="00342180"/>
    <w:rsid w:val="00346A36"/>
    <w:rsid w:val="00347190"/>
    <w:rsid w:val="00347A01"/>
    <w:rsid w:val="00352372"/>
    <w:rsid w:val="00353FD7"/>
    <w:rsid w:val="00354134"/>
    <w:rsid w:val="00354E69"/>
    <w:rsid w:val="00355A3D"/>
    <w:rsid w:val="003561C9"/>
    <w:rsid w:val="00356A69"/>
    <w:rsid w:val="00361B17"/>
    <w:rsid w:val="00362441"/>
    <w:rsid w:val="003627F1"/>
    <w:rsid w:val="00362C40"/>
    <w:rsid w:val="0036432F"/>
    <w:rsid w:val="00367081"/>
    <w:rsid w:val="003706F3"/>
    <w:rsid w:val="00370E69"/>
    <w:rsid w:val="00370E88"/>
    <w:rsid w:val="00373847"/>
    <w:rsid w:val="00375D79"/>
    <w:rsid w:val="0037625C"/>
    <w:rsid w:val="003812D2"/>
    <w:rsid w:val="003862C7"/>
    <w:rsid w:val="0038655C"/>
    <w:rsid w:val="00386758"/>
    <w:rsid w:val="00390CD1"/>
    <w:rsid w:val="0039235C"/>
    <w:rsid w:val="00393C6F"/>
    <w:rsid w:val="00393F3E"/>
    <w:rsid w:val="003956AD"/>
    <w:rsid w:val="00397A11"/>
    <w:rsid w:val="003A06DA"/>
    <w:rsid w:val="003A61F1"/>
    <w:rsid w:val="003A650F"/>
    <w:rsid w:val="003B0977"/>
    <w:rsid w:val="003B0B8E"/>
    <w:rsid w:val="003B18DE"/>
    <w:rsid w:val="003B1A8E"/>
    <w:rsid w:val="003B240A"/>
    <w:rsid w:val="003B664B"/>
    <w:rsid w:val="003C0754"/>
    <w:rsid w:val="003C1B77"/>
    <w:rsid w:val="003C2564"/>
    <w:rsid w:val="003C2F3E"/>
    <w:rsid w:val="003C4A74"/>
    <w:rsid w:val="003C524C"/>
    <w:rsid w:val="003D029A"/>
    <w:rsid w:val="003D0556"/>
    <w:rsid w:val="003D1C82"/>
    <w:rsid w:val="003D3199"/>
    <w:rsid w:val="003D4807"/>
    <w:rsid w:val="003D55FF"/>
    <w:rsid w:val="003E0AB4"/>
    <w:rsid w:val="003E0C6F"/>
    <w:rsid w:val="003E1731"/>
    <w:rsid w:val="003E2198"/>
    <w:rsid w:val="003E3DCD"/>
    <w:rsid w:val="003E63E0"/>
    <w:rsid w:val="003E6FC5"/>
    <w:rsid w:val="003E78A9"/>
    <w:rsid w:val="003F0B90"/>
    <w:rsid w:val="003F2CE2"/>
    <w:rsid w:val="003F3098"/>
    <w:rsid w:val="003F395C"/>
    <w:rsid w:val="003F4718"/>
    <w:rsid w:val="003F73D4"/>
    <w:rsid w:val="003F7D3D"/>
    <w:rsid w:val="00400799"/>
    <w:rsid w:val="00403FD1"/>
    <w:rsid w:val="00404551"/>
    <w:rsid w:val="004063DC"/>
    <w:rsid w:val="00406A0F"/>
    <w:rsid w:val="00410525"/>
    <w:rsid w:val="0041230F"/>
    <w:rsid w:val="00413815"/>
    <w:rsid w:val="00414CE8"/>
    <w:rsid w:val="00414EAD"/>
    <w:rsid w:val="00414F64"/>
    <w:rsid w:val="0042017E"/>
    <w:rsid w:val="004201F8"/>
    <w:rsid w:val="00420E8B"/>
    <w:rsid w:val="00421BDB"/>
    <w:rsid w:val="0042424B"/>
    <w:rsid w:val="004250FE"/>
    <w:rsid w:val="004300EE"/>
    <w:rsid w:val="00431D14"/>
    <w:rsid w:val="00432A26"/>
    <w:rsid w:val="00432D8A"/>
    <w:rsid w:val="0043556F"/>
    <w:rsid w:val="004374B4"/>
    <w:rsid w:val="00437B01"/>
    <w:rsid w:val="00440BD2"/>
    <w:rsid w:val="004410F4"/>
    <w:rsid w:val="00441163"/>
    <w:rsid w:val="00441F15"/>
    <w:rsid w:val="00444097"/>
    <w:rsid w:val="00444DC3"/>
    <w:rsid w:val="004511DB"/>
    <w:rsid w:val="00451707"/>
    <w:rsid w:val="00452B91"/>
    <w:rsid w:val="00454351"/>
    <w:rsid w:val="00454C7B"/>
    <w:rsid w:val="0045559B"/>
    <w:rsid w:val="00456630"/>
    <w:rsid w:val="00460598"/>
    <w:rsid w:val="00460F15"/>
    <w:rsid w:val="00461373"/>
    <w:rsid w:val="00462F5A"/>
    <w:rsid w:val="00463B39"/>
    <w:rsid w:val="00463D9D"/>
    <w:rsid w:val="00464A95"/>
    <w:rsid w:val="0046674C"/>
    <w:rsid w:val="00473344"/>
    <w:rsid w:val="004736FD"/>
    <w:rsid w:val="0047468D"/>
    <w:rsid w:val="00476745"/>
    <w:rsid w:val="00477B0A"/>
    <w:rsid w:val="00480F71"/>
    <w:rsid w:val="0048228E"/>
    <w:rsid w:val="00482420"/>
    <w:rsid w:val="00482429"/>
    <w:rsid w:val="00484800"/>
    <w:rsid w:val="004848ED"/>
    <w:rsid w:val="0048731D"/>
    <w:rsid w:val="004879BB"/>
    <w:rsid w:val="00491ADE"/>
    <w:rsid w:val="00492D6F"/>
    <w:rsid w:val="00494C3D"/>
    <w:rsid w:val="00494E96"/>
    <w:rsid w:val="004952AE"/>
    <w:rsid w:val="004962DE"/>
    <w:rsid w:val="004A01C5"/>
    <w:rsid w:val="004A0277"/>
    <w:rsid w:val="004A0D24"/>
    <w:rsid w:val="004A13CA"/>
    <w:rsid w:val="004A2796"/>
    <w:rsid w:val="004A3F98"/>
    <w:rsid w:val="004A42C4"/>
    <w:rsid w:val="004B2040"/>
    <w:rsid w:val="004B4A19"/>
    <w:rsid w:val="004B5A13"/>
    <w:rsid w:val="004B71A0"/>
    <w:rsid w:val="004C00E6"/>
    <w:rsid w:val="004C1DD3"/>
    <w:rsid w:val="004C2871"/>
    <w:rsid w:val="004C35B5"/>
    <w:rsid w:val="004C718B"/>
    <w:rsid w:val="004D1372"/>
    <w:rsid w:val="004D1E26"/>
    <w:rsid w:val="004D3044"/>
    <w:rsid w:val="004D3576"/>
    <w:rsid w:val="004D4BF9"/>
    <w:rsid w:val="004D5E6D"/>
    <w:rsid w:val="004E34CF"/>
    <w:rsid w:val="004E43FB"/>
    <w:rsid w:val="004E5863"/>
    <w:rsid w:val="004E5A2D"/>
    <w:rsid w:val="004E7C44"/>
    <w:rsid w:val="004E7D35"/>
    <w:rsid w:val="004F3666"/>
    <w:rsid w:val="00500CDF"/>
    <w:rsid w:val="00506508"/>
    <w:rsid w:val="005066EC"/>
    <w:rsid w:val="00510BCE"/>
    <w:rsid w:val="00511D44"/>
    <w:rsid w:val="005127ED"/>
    <w:rsid w:val="0051715B"/>
    <w:rsid w:val="0051760F"/>
    <w:rsid w:val="00520397"/>
    <w:rsid w:val="005211B6"/>
    <w:rsid w:val="00524E54"/>
    <w:rsid w:val="00525203"/>
    <w:rsid w:val="0052677E"/>
    <w:rsid w:val="005274DF"/>
    <w:rsid w:val="00530794"/>
    <w:rsid w:val="00531BDF"/>
    <w:rsid w:val="00534509"/>
    <w:rsid w:val="0053590B"/>
    <w:rsid w:val="00535AC5"/>
    <w:rsid w:val="00536EB9"/>
    <w:rsid w:val="0054103B"/>
    <w:rsid w:val="0054426E"/>
    <w:rsid w:val="00544A82"/>
    <w:rsid w:val="005453FF"/>
    <w:rsid w:val="0054604E"/>
    <w:rsid w:val="00547787"/>
    <w:rsid w:val="00550B9C"/>
    <w:rsid w:val="00552197"/>
    <w:rsid w:val="00553A59"/>
    <w:rsid w:val="00554282"/>
    <w:rsid w:val="00554B80"/>
    <w:rsid w:val="00554D76"/>
    <w:rsid w:val="00557DD2"/>
    <w:rsid w:val="005604D5"/>
    <w:rsid w:val="00560ED8"/>
    <w:rsid w:val="00562DEC"/>
    <w:rsid w:val="0056306E"/>
    <w:rsid w:val="00563A83"/>
    <w:rsid w:val="00564BED"/>
    <w:rsid w:val="0056778D"/>
    <w:rsid w:val="005703DD"/>
    <w:rsid w:val="005709A6"/>
    <w:rsid w:val="005709C6"/>
    <w:rsid w:val="005728AE"/>
    <w:rsid w:val="00574577"/>
    <w:rsid w:val="00574616"/>
    <w:rsid w:val="00577D40"/>
    <w:rsid w:val="00581603"/>
    <w:rsid w:val="005816BE"/>
    <w:rsid w:val="0058303E"/>
    <w:rsid w:val="00583623"/>
    <w:rsid w:val="00583A3A"/>
    <w:rsid w:val="00585844"/>
    <w:rsid w:val="00585DAC"/>
    <w:rsid w:val="00590C6E"/>
    <w:rsid w:val="00590CC5"/>
    <w:rsid w:val="00591993"/>
    <w:rsid w:val="0059614D"/>
    <w:rsid w:val="005A0433"/>
    <w:rsid w:val="005A04D8"/>
    <w:rsid w:val="005A1C16"/>
    <w:rsid w:val="005A1FFB"/>
    <w:rsid w:val="005A4456"/>
    <w:rsid w:val="005A51E2"/>
    <w:rsid w:val="005A6783"/>
    <w:rsid w:val="005B12EF"/>
    <w:rsid w:val="005B1FD0"/>
    <w:rsid w:val="005B2C16"/>
    <w:rsid w:val="005C318D"/>
    <w:rsid w:val="005C4242"/>
    <w:rsid w:val="005C44C6"/>
    <w:rsid w:val="005C4528"/>
    <w:rsid w:val="005C5859"/>
    <w:rsid w:val="005C604E"/>
    <w:rsid w:val="005C605E"/>
    <w:rsid w:val="005C6205"/>
    <w:rsid w:val="005C729D"/>
    <w:rsid w:val="005D402B"/>
    <w:rsid w:val="005D6911"/>
    <w:rsid w:val="005D6C9C"/>
    <w:rsid w:val="005E0C4F"/>
    <w:rsid w:val="005E2044"/>
    <w:rsid w:val="005E2FCA"/>
    <w:rsid w:val="005F0D44"/>
    <w:rsid w:val="005F23C8"/>
    <w:rsid w:val="005F6084"/>
    <w:rsid w:val="005F66E0"/>
    <w:rsid w:val="00603D54"/>
    <w:rsid w:val="006049D4"/>
    <w:rsid w:val="00606364"/>
    <w:rsid w:val="00611B18"/>
    <w:rsid w:val="00611D2E"/>
    <w:rsid w:val="00612D1C"/>
    <w:rsid w:val="00614142"/>
    <w:rsid w:val="006161B0"/>
    <w:rsid w:val="00617003"/>
    <w:rsid w:val="00623510"/>
    <w:rsid w:val="00624551"/>
    <w:rsid w:val="00624FDB"/>
    <w:rsid w:val="00630A47"/>
    <w:rsid w:val="00631208"/>
    <w:rsid w:val="006322F5"/>
    <w:rsid w:val="0063265A"/>
    <w:rsid w:val="00636C31"/>
    <w:rsid w:val="00637FAE"/>
    <w:rsid w:val="00642638"/>
    <w:rsid w:val="00642FAA"/>
    <w:rsid w:val="00650D8B"/>
    <w:rsid w:val="006517D5"/>
    <w:rsid w:val="006517DC"/>
    <w:rsid w:val="00652CE3"/>
    <w:rsid w:val="0065356B"/>
    <w:rsid w:val="006538C7"/>
    <w:rsid w:val="00654517"/>
    <w:rsid w:val="006547DB"/>
    <w:rsid w:val="006562C1"/>
    <w:rsid w:val="006562E8"/>
    <w:rsid w:val="00656339"/>
    <w:rsid w:val="00657373"/>
    <w:rsid w:val="00657E5E"/>
    <w:rsid w:val="006600C8"/>
    <w:rsid w:val="006613A8"/>
    <w:rsid w:val="00661EB3"/>
    <w:rsid w:val="00662A1D"/>
    <w:rsid w:val="00664607"/>
    <w:rsid w:val="00665498"/>
    <w:rsid w:val="00666DA6"/>
    <w:rsid w:val="0067046D"/>
    <w:rsid w:val="00671DA3"/>
    <w:rsid w:val="00672B8A"/>
    <w:rsid w:val="006761DE"/>
    <w:rsid w:val="00676C29"/>
    <w:rsid w:val="00676E24"/>
    <w:rsid w:val="00677866"/>
    <w:rsid w:val="00681DD7"/>
    <w:rsid w:val="00682738"/>
    <w:rsid w:val="00684A76"/>
    <w:rsid w:val="00686E50"/>
    <w:rsid w:val="00687ABF"/>
    <w:rsid w:val="00687D02"/>
    <w:rsid w:val="00690DB2"/>
    <w:rsid w:val="00692ABC"/>
    <w:rsid w:val="00692CFA"/>
    <w:rsid w:val="00693E19"/>
    <w:rsid w:val="00695519"/>
    <w:rsid w:val="00697D39"/>
    <w:rsid w:val="006A1CA5"/>
    <w:rsid w:val="006A3C50"/>
    <w:rsid w:val="006A5863"/>
    <w:rsid w:val="006A6931"/>
    <w:rsid w:val="006B0E24"/>
    <w:rsid w:val="006B27A6"/>
    <w:rsid w:val="006B2C4F"/>
    <w:rsid w:val="006B4029"/>
    <w:rsid w:val="006B4A46"/>
    <w:rsid w:val="006B6395"/>
    <w:rsid w:val="006B71FF"/>
    <w:rsid w:val="006B7C2E"/>
    <w:rsid w:val="006C25B1"/>
    <w:rsid w:val="006C2A2D"/>
    <w:rsid w:val="006C42B4"/>
    <w:rsid w:val="006C492B"/>
    <w:rsid w:val="006C4C5F"/>
    <w:rsid w:val="006C7795"/>
    <w:rsid w:val="006D1480"/>
    <w:rsid w:val="006D3A5C"/>
    <w:rsid w:val="006D3C87"/>
    <w:rsid w:val="006D455F"/>
    <w:rsid w:val="006D4F1D"/>
    <w:rsid w:val="006D66A0"/>
    <w:rsid w:val="006E0203"/>
    <w:rsid w:val="006E0E64"/>
    <w:rsid w:val="006E140A"/>
    <w:rsid w:val="006E30A4"/>
    <w:rsid w:val="006E40E2"/>
    <w:rsid w:val="006E41A3"/>
    <w:rsid w:val="006E44AD"/>
    <w:rsid w:val="006E5B3B"/>
    <w:rsid w:val="006E5E19"/>
    <w:rsid w:val="006E6E6C"/>
    <w:rsid w:val="006F0394"/>
    <w:rsid w:val="006F19AC"/>
    <w:rsid w:val="006F29FE"/>
    <w:rsid w:val="006F2E85"/>
    <w:rsid w:val="006F5736"/>
    <w:rsid w:val="006F6CC4"/>
    <w:rsid w:val="006F71DA"/>
    <w:rsid w:val="006F7992"/>
    <w:rsid w:val="00701A81"/>
    <w:rsid w:val="00703052"/>
    <w:rsid w:val="00704BED"/>
    <w:rsid w:val="00704C66"/>
    <w:rsid w:val="00707108"/>
    <w:rsid w:val="00710186"/>
    <w:rsid w:val="00710CEA"/>
    <w:rsid w:val="0071355A"/>
    <w:rsid w:val="007139C0"/>
    <w:rsid w:val="00714B95"/>
    <w:rsid w:val="00724B81"/>
    <w:rsid w:val="00725059"/>
    <w:rsid w:val="007268DE"/>
    <w:rsid w:val="007279D9"/>
    <w:rsid w:val="0073320A"/>
    <w:rsid w:val="00735678"/>
    <w:rsid w:val="00737011"/>
    <w:rsid w:val="00740B73"/>
    <w:rsid w:val="00742110"/>
    <w:rsid w:val="00742B1C"/>
    <w:rsid w:val="00742DF7"/>
    <w:rsid w:val="00743A55"/>
    <w:rsid w:val="00752D43"/>
    <w:rsid w:val="00753CDD"/>
    <w:rsid w:val="00755F4A"/>
    <w:rsid w:val="007564EF"/>
    <w:rsid w:val="007577DB"/>
    <w:rsid w:val="00763280"/>
    <w:rsid w:val="007639FA"/>
    <w:rsid w:val="00765898"/>
    <w:rsid w:val="00765BD7"/>
    <w:rsid w:val="00765F50"/>
    <w:rsid w:val="007661E9"/>
    <w:rsid w:val="00766FC8"/>
    <w:rsid w:val="007705B9"/>
    <w:rsid w:val="007722D1"/>
    <w:rsid w:val="00772C3E"/>
    <w:rsid w:val="00776E84"/>
    <w:rsid w:val="00777029"/>
    <w:rsid w:val="00780061"/>
    <w:rsid w:val="0078202A"/>
    <w:rsid w:val="007820EC"/>
    <w:rsid w:val="00783595"/>
    <w:rsid w:val="007946A0"/>
    <w:rsid w:val="00794D57"/>
    <w:rsid w:val="00794FE0"/>
    <w:rsid w:val="00795E79"/>
    <w:rsid w:val="00796932"/>
    <w:rsid w:val="00797D7E"/>
    <w:rsid w:val="007A216D"/>
    <w:rsid w:val="007A28A6"/>
    <w:rsid w:val="007A4DBB"/>
    <w:rsid w:val="007A4E83"/>
    <w:rsid w:val="007B0E00"/>
    <w:rsid w:val="007B2A04"/>
    <w:rsid w:val="007B69AC"/>
    <w:rsid w:val="007B6AA2"/>
    <w:rsid w:val="007B6B7C"/>
    <w:rsid w:val="007B714E"/>
    <w:rsid w:val="007B78C2"/>
    <w:rsid w:val="007C0447"/>
    <w:rsid w:val="007C0D5C"/>
    <w:rsid w:val="007C1C93"/>
    <w:rsid w:val="007C3679"/>
    <w:rsid w:val="007C3FB8"/>
    <w:rsid w:val="007C40B2"/>
    <w:rsid w:val="007C4BA4"/>
    <w:rsid w:val="007D0067"/>
    <w:rsid w:val="007D2660"/>
    <w:rsid w:val="007E1CF6"/>
    <w:rsid w:val="007E20F3"/>
    <w:rsid w:val="007E27D8"/>
    <w:rsid w:val="007E3625"/>
    <w:rsid w:val="007E4B9D"/>
    <w:rsid w:val="007E528E"/>
    <w:rsid w:val="007E5ABB"/>
    <w:rsid w:val="007F3F93"/>
    <w:rsid w:val="007F4157"/>
    <w:rsid w:val="007F6EE6"/>
    <w:rsid w:val="007F7E74"/>
    <w:rsid w:val="007F7FF5"/>
    <w:rsid w:val="008018BE"/>
    <w:rsid w:val="00802078"/>
    <w:rsid w:val="00802E6A"/>
    <w:rsid w:val="00806D3C"/>
    <w:rsid w:val="00810C37"/>
    <w:rsid w:val="00811009"/>
    <w:rsid w:val="0081117E"/>
    <w:rsid w:val="008150D4"/>
    <w:rsid w:val="00815A31"/>
    <w:rsid w:val="008160AB"/>
    <w:rsid w:val="008238D5"/>
    <w:rsid w:val="00825CBF"/>
    <w:rsid w:val="008314DA"/>
    <w:rsid w:val="00831EC2"/>
    <w:rsid w:val="008337E4"/>
    <w:rsid w:val="0084065D"/>
    <w:rsid w:val="00841FDE"/>
    <w:rsid w:val="00842469"/>
    <w:rsid w:val="008425F9"/>
    <w:rsid w:val="00847CC4"/>
    <w:rsid w:val="00850AA8"/>
    <w:rsid w:val="00850EC3"/>
    <w:rsid w:val="00852A94"/>
    <w:rsid w:val="00853102"/>
    <w:rsid w:val="00854626"/>
    <w:rsid w:val="00854A30"/>
    <w:rsid w:val="008626FC"/>
    <w:rsid w:val="008659B1"/>
    <w:rsid w:val="00865D7E"/>
    <w:rsid w:val="008676A4"/>
    <w:rsid w:val="0087096F"/>
    <w:rsid w:val="0087136D"/>
    <w:rsid w:val="0087309E"/>
    <w:rsid w:val="008735F9"/>
    <w:rsid w:val="00873C95"/>
    <w:rsid w:val="008772FB"/>
    <w:rsid w:val="008813E3"/>
    <w:rsid w:val="0088286F"/>
    <w:rsid w:val="00883108"/>
    <w:rsid w:val="0088460D"/>
    <w:rsid w:val="00886BD3"/>
    <w:rsid w:val="0088798B"/>
    <w:rsid w:val="00891D94"/>
    <w:rsid w:val="008946E3"/>
    <w:rsid w:val="008972EE"/>
    <w:rsid w:val="008A195D"/>
    <w:rsid w:val="008A2A3B"/>
    <w:rsid w:val="008A3F3F"/>
    <w:rsid w:val="008A5565"/>
    <w:rsid w:val="008A679F"/>
    <w:rsid w:val="008B00F9"/>
    <w:rsid w:val="008B029C"/>
    <w:rsid w:val="008B1F3A"/>
    <w:rsid w:val="008B2E12"/>
    <w:rsid w:val="008C2174"/>
    <w:rsid w:val="008C3398"/>
    <w:rsid w:val="008C3B80"/>
    <w:rsid w:val="008C4147"/>
    <w:rsid w:val="008C4EBF"/>
    <w:rsid w:val="008D151C"/>
    <w:rsid w:val="008D2BB3"/>
    <w:rsid w:val="008D3636"/>
    <w:rsid w:val="008D3724"/>
    <w:rsid w:val="008D4090"/>
    <w:rsid w:val="008D656F"/>
    <w:rsid w:val="008D694A"/>
    <w:rsid w:val="008E2DF6"/>
    <w:rsid w:val="008E3829"/>
    <w:rsid w:val="008E426A"/>
    <w:rsid w:val="008E5635"/>
    <w:rsid w:val="008E77F4"/>
    <w:rsid w:val="008F07C4"/>
    <w:rsid w:val="008F38D2"/>
    <w:rsid w:val="008F3F61"/>
    <w:rsid w:val="008F4071"/>
    <w:rsid w:val="00901372"/>
    <w:rsid w:val="009015DE"/>
    <w:rsid w:val="00901F5A"/>
    <w:rsid w:val="00902662"/>
    <w:rsid w:val="00904E97"/>
    <w:rsid w:val="009100CF"/>
    <w:rsid w:val="00913763"/>
    <w:rsid w:val="0091439E"/>
    <w:rsid w:val="009151D1"/>
    <w:rsid w:val="009156FA"/>
    <w:rsid w:val="009158B4"/>
    <w:rsid w:val="00915EDB"/>
    <w:rsid w:val="009179EB"/>
    <w:rsid w:val="00921BC9"/>
    <w:rsid w:val="00925259"/>
    <w:rsid w:val="009269B3"/>
    <w:rsid w:val="009274F8"/>
    <w:rsid w:val="009307E7"/>
    <w:rsid w:val="00932DFA"/>
    <w:rsid w:val="00933225"/>
    <w:rsid w:val="009339E3"/>
    <w:rsid w:val="00935B31"/>
    <w:rsid w:val="00936EE5"/>
    <w:rsid w:val="009379DB"/>
    <w:rsid w:val="009400A3"/>
    <w:rsid w:val="009403FA"/>
    <w:rsid w:val="009433AA"/>
    <w:rsid w:val="00947306"/>
    <w:rsid w:val="009473E6"/>
    <w:rsid w:val="00952A21"/>
    <w:rsid w:val="0095313A"/>
    <w:rsid w:val="009630CE"/>
    <w:rsid w:val="00965298"/>
    <w:rsid w:val="009676ED"/>
    <w:rsid w:val="00967A2E"/>
    <w:rsid w:val="00967B55"/>
    <w:rsid w:val="00967BF5"/>
    <w:rsid w:val="00970173"/>
    <w:rsid w:val="00970BB0"/>
    <w:rsid w:val="00973C70"/>
    <w:rsid w:val="00974742"/>
    <w:rsid w:val="00974EE6"/>
    <w:rsid w:val="00974F34"/>
    <w:rsid w:val="00975780"/>
    <w:rsid w:val="00976FC0"/>
    <w:rsid w:val="009771FB"/>
    <w:rsid w:val="00980718"/>
    <w:rsid w:val="00980CDB"/>
    <w:rsid w:val="00981587"/>
    <w:rsid w:val="00982D6D"/>
    <w:rsid w:val="00982F4D"/>
    <w:rsid w:val="009841E1"/>
    <w:rsid w:val="009913BC"/>
    <w:rsid w:val="0099171B"/>
    <w:rsid w:val="009917E9"/>
    <w:rsid w:val="0099206F"/>
    <w:rsid w:val="00993440"/>
    <w:rsid w:val="00993695"/>
    <w:rsid w:val="0099411A"/>
    <w:rsid w:val="0099586F"/>
    <w:rsid w:val="00996026"/>
    <w:rsid w:val="00996ABB"/>
    <w:rsid w:val="009A0BE0"/>
    <w:rsid w:val="009A2BAA"/>
    <w:rsid w:val="009A457D"/>
    <w:rsid w:val="009A6980"/>
    <w:rsid w:val="009B05B4"/>
    <w:rsid w:val="009B4210"/>
    <w:rsid w:val="009B5000"/>
    <w:rsid w:val="009B50A8"/>
    <w:rsid w:val="009B5575"/>
    <w:rsid w:val="009B5609"/>
    <w:rsid w:val="009B70F2"/>
    <w:rsid w:val="009B79C9"/>
    <w:rsid w:val="009C1778"/>
    <w:rsid w:val="009C20F0"/>
    <w:rsid w:val="009C2484"/>
    <w:rsid w:val="009C4961"/>
    <w:rsid w:val="009D3A6E"/>
    <w:rsid w:val="009D5BE5"/>
    <w:rsid w:val="009D75BB"/>
    <w:rsid w:val="009E27B7"/>
    <w:rsid w:val="009E79EF"/>
    <w:rsid w:val="009F1811"/>
    <w:rsid w:val="009F5B9D"/>
    <w:rsid w:val="00A00283"/>
    <w:rsid w:val="00A0286B"/>
    <w:rsid w:val="00A0552E"/>
    <w:rsid w:val="00A07D5C"/>
    <w:rsid w:val="00A106A0"/>
    <w:rsid w:val="00A123CE"/>
    <w:rsid w:val="00A12901"/>
    <w:rsid w:val="00A131EB"/>
    <w:rsid w:val="00A1471A"/>
    <w:rsid w:val="00A17432"/>
    <w:rsid w:val="00A21BE1"/>
    <w:rsid w:val="00A223A5"/>
    <w:rsid w:val="00A22753"/>
    <w:rsid w:val="00A2485A"/>
    <w:rsid w:val="00A30680"/>
    <w:rsid w:val="00A32198"/>
    <w:rsid w:val="00A33AA8"/>
    <w:rsid w:val="00A3458C"/>
    <w:rsid w:val="00A360B0"/>
    <w:rsid w:val="00A376FF"/>
    <w:rsid w:val="00A40418"/>
    <w:rsid w:val="00A40FA6"/>
    <w:rsid w:val="00A42999"/>
    <w:rsid w:val="00A44275"/>
    <w:rsid w:val="00A44A11"/>
    <w:rsid w:val="00A4560B"/>
    <w:rsid w:val="00A500B9"/>
    <w:rsid w:val="00A53153"/>
    <w:rsid w:val="00A537E7"/>
    <w:rsid w:val="00A57920"/>
    <w:rsid w:val="00A57FCC"/>
    <w:rsid w:val="00A61562"/>
    <w:rsid w:val="00A61E93"/>
    <w:rsid w:val="00A6237E"/>
    <w:rsid w:val="00A6411B"/>
    <w:rsid w:val="00A648A7"/>
    <w:rsid w:val="00A64D46"/>
    <w:rsid w:val="00A6698E"/>
    <w:rsid w:val="00A706DF"/>
    <w:rsid w:val="00A71409"/>
    <w:rsid w:val="00A71474"/>
    <w:rsid w:val="00A7212C"/>
    <w:rsid w:val="00A73AB4"/>
    <w:rsid w:val="00A73C34"/>
    <w:rsid w:val="00A744E8"/>
    <w:rsid w:val="00A80281"/>
    <w:rsid w:val="00A82070"/>
    <w:rsid w:val="00A8250D"/>
    <w:rsid w:val="00A831F4"/>
    <w:rsid w:val="00A83FC9"/>
    <w:rsid w:val="00A840C1"/>
    <w:rsid w:val="00A86408"/>
    <w:rsid w:val="00A9047F"/>
    <w:rsid w:val="00A91226"/>
    <w:rsid w:val="00A91727"/>
    <w:rsid w:val="00A917DB"/>
    <w:rsid w:val="00A91E8E"/>
    <w:rsid w:val="00A92A97"/>
    <w:rsid w:val="00A92C8E"/>
    <w:rsid w:val="00A9675A"/>
    <w:rsid w:val="00A96BB9"/>
    <w:rsid w:val="00A972FB"/>
    <w:rsid w:val="00A97739"/>
    <w:rsid w:val="00AA21AB"/>
    <w:rsid w:val="00AA2F1D"/>
    <w:rsid w:val="00AA77BA"/>
    <w:rsid w:val="00AB0EB4"/>
    <w:rsid w:val="00AB2D48"/>
    <w:rsid w:val="00AB320C"/>
    <w:rsid w:val="00AB5DCC"/>
    <w:rsid w:val="00AB7F78"/>
    <w:rsid w:val="00AC1213"/>
    <w:rsid w:val="00AC2D19"/>
    <w:rsid w:val="00AC37E5"/>
    <w:rsid w:val="00AC5FF7"/>
    <w:rsid w:val="00AD029C"/>
    <w:rsid w:val="00AD18BC"/>
    <w:rsid w:val="00AD3ACA"/>
    <w:rsid w:val="00AD4D5F"/>
    <w:rsid w:val="00AD558C"/>
    <w:rsid w:val="00AD55C8"/>
    <w:rsid w:val="00AD5C3D"/>
    <w:rsid w:val="00AE1406"/>
    <w:rsid w:val="00AE6147"/>
    <w:rsid w:val="00AE656F"/>
    <w:rsid w:val="00AF3C28"/>
    <w:rsid w:val="00AF4BD8"/>
    <w:rsid w:val="00AF55A5"/>
    <w:rsid w:val="00AF7953"/>
    <w:rsid w:val="00B000EB"/>
    <w:rsid w:val="00B0033A"/>
    <w:rsid w:val="00B010D9"/>
    <w:rsid w:val="00B01286"/>
    <w:rsid w:val="00B02977"/>
    <w:rsid w:val="00B02B9E"/>
    <w:rsid w:val="00B07229"/>
    <w:rsid w:val="00B10B0D"/>
    <w:rsid w:val="00B10B40"/>
    <w:rsid w:val="00B135C3"/>
    <w:rsid w:val="00B1369E"/>
    <w:rsid w:val="00B178CD"/>
    <w:rsid w:val="00B2211F"/>
    <w:rsid w:val="00B23D18"/>
    <w:rsid w:val="00B24F4A"/>
    <w:rsid w:val="00B26FE0"/>
    <w:rsid w:val="00B27126"/>
    <w:rsid w:val="00B27C5B"/>
    <w:rsid w:val="00B30363"/>
    <w:rsid w:val="00B37BA8"/>
    <w:rsid w:val="00B431E0"/>
    <w:rsid w:val="00B447D6"/>
    <w:rsid w:val="00B45396"/>
    <w:rsid w:val="00B511C5"/>
    <w:rsid w:val="00B576D1"/>
    <w:rsid w:val="00B57C30"/>
    <w:rsid w:val="00B60B78"/>
    <w:rsid w:val="00B62FDB"/>
    <w:rsid w:val="00B63258"/>
    <w:rsid w:val="00B635C4"/>
    <w:rsid w:val="00B65FBB"/>
    <w:rsid w:val="00B6710A"/>
    <w:rsid w:val="00B71880"/>
    <w:rsid w:val="00B73E4A"/>
    <w:rsid w:val="00B76803"/>
    <w:rsid w:val="00B808E1"/>
    <w:rsid w:val="00B86BB1"/>
    <w:rsid w:val="00B87118"/>
    <w:rsid w:val="00B87F51"/>
    <w:rsid w:val="00B9047B"/>
    <w:rsid w:val="00B94652"/>
    <w:rsid w:val="00B9491C"/>
    <w:rsid w:val="00B94A0D"/>
    <w:rsid w:val="00B95068"/>
    <w:rsid w:val="00B962B1"/>
    <w:rsid w:val="00B965A5"/>
    <w:rsid w:val="00B96D2F"/>
    <w:rsid w:val="00BA1DDF"/>
    <w:rsid w:val="00BA2239"/>
    <w:rsid w:val="00BA2767"/>
    <w:rsid w:val="00BA387F"/>
    <w:rsid w:val="00BA3C35"/>
    <w:rsid w:val="00BA7539"/>
    <w:rsid w:val="00BB08CD"/>
    <w:rsid w:val="00BB2BB9"/>
    <w:rsid w:val="00BB39CF"/>
    <w:rsid w:val="00BB4A83"/>
    <w:rsid w:val="00BB4E9E"/>
    <w:rsid w:val="00BB501F"/>
    <w:rsid w:val="00BB5B07"/>
    <w:rsid w:val="00BC014C"/>
    <w:rsid w:val="00BC0225"/>
    <w:rsid w:val="00BC15B0"/>
    <w:rsid w:val="00BC2FFD"/>
    <w:rsid w:val="00BC323E"/>
    <w:rsid w:val="00BC3FDA"/>
    <w:rsid w:val="00BC41DC"/>
    <w:rsid w:val="00BC70E6"/>
    <w:rsid w:val="00BD1815"/>
    <w:rsid w:val="00BD1FB1"/>
    <w:rsid w:val="00BD7A70"/>
    <w:rsid w:val="00BE074C"/>
    <w:rsid w:val="00BE147A"/>
    <w:rsid w:val="00BE1743"/>
    <w:rsid w:val="00BE3458"/>
    <w:rsid w:val="00BE3D5C"/>
    <w:rsid w:val="00BE4C3E"/>
    <w:rsid w:val="00BE5267"/>
    <w:rsid w:val="00BE7066"/>
    <w:rsid w:val="00BE72CD"/>
    <w:rsid w:val="00BF143F"/>
    <w:rsid w:val="00BF2CB4"/>
    <w:rsid w:val="00BF3282"/>
    <w:rsid w:val="00BF44AF"/>
    <w:rsid w:val="00BF494F"/>
    <w:rsid w:val="00BF6447"/>
    <w:rsid w:val="00C00FB0"/>
    <w:rsid w:val="00C01B0B"/>
    <w:rsid w:val="00C047AD"/>
    <w:rsid w:val="00C05A39"/>
    <w:rsid w:val="00C0611C"/>
    <w:rsid w:val="00C06DFE"/>
    <w:rsid w:val="00C07232"/>
    <w:rsid w:val="00C156CC"/>
    <w:rsid w:val="00C17C50"/>
    <w:rsid w:val="00C23743"/>
    <w:rsid w:val="00C27F06"/>
    <w:rsid w:val="00C301D7"/>
    <w:rsid w:val="00C304F0"/>
    <w:rsid w:val="00C30662"/>
    <w:rsid w:val="00C31603"/>
    <w:rsid w:val="00C32407"/>
    <w:rsid w:val="00C32792"/>
    <w:rsid w:val="00C34C80"/>
    <w:rsid w:val="00C37850"/>
    <w:rsid w:val="00C4015E"/>
    <w:rsid w:val="00C40647"/>
    <w:rsid w:val="00C41A2B"/>
    <w:rsid w:val="00C43998"/>
    <w:rsid w:val="00C443EF"/>
    <w:rsid w:val="00C449BB"/>
    <w:rsid w:val="00C44B6E"/>
    <w:rsid w:val="00C45BA7"/>
    <w:rsid w:val="00C45E42"/>
    <w:rsid w:val="00C460E7"/>
    <w:rsid w:val="00C5217D"/>
    <w:rsid w:val="00C5254A"/>
    <w:rsid w:val="00C525F8"/>
    <w:rsid w:val="00C55D16"/>
    <w:rsid w:val="00C602DE"/>
    <w:rsid w:val="00C63C83"/>
    <w:rsid w:val="00C64A21"/>
    <w:rsid w:val="00C65521"/>
    <w:rsid w:val="00C66C34"/>
    <w:rsid w:val="00C70585"/>
    <w:rsid w:val="00C72EAF"/>
    <w:rsid w:val="00C731C5"/>
    <w:rsid w:val="00C73341"/>
    <w:rsid w:val="00C74C33"/>
    <w:rsid w:val="00C769DB"/>
    <w:rsid w:val="00C77BFB"/>
    <w:rsid w:val="00C82D88"/>
    <w:rsid w:val="00C85F71"/>
    <w:rsid w:val="00C860D3"/>
    <w:rsid w:val="00C866CD"/>
    <w:rsid w:val="00C86FD3"/>
    <w:rsid w:val="00C9043B"/>
    <w:rsid w:val="00C90E4B"/>
    <w:rsid w:val="00C9182D"/>
    <w:rsid w:val="00C91863"/>
    <w:rsid w:val="00C9208B"/>
    <w:rsid w:val="00C93D39"/>
    <w:rsid w:val="00C954D7"/>
    <w:rsid w:val="00C95787"/>
    <w:rsid w:val="00CA0DB5"/>
    <w:rsid w:val="00CA4850"/>
    <w:rsid w:val="00CA58D4"/>
    <w:rsid w:val="00CA5BA2"/>
    <w:rsid w:val="00CA5DD8"/>
    <w:rsid w:val="00CA60DB"/>
    <w:rsid w:val="00CA629D"/>
    <w:rsid w:val="00CA682E"/>
    <w:rsid w:val="00CB0CBC"/>
    <w:rsid w:val="00CB1A17"/>
    <w:rsid w:val="00CB3B5C"/>
    <w:rsid w:val="00CB5BD9"/>
    <w:rsid w:val="00CB6F8B"/>
    <w:rsid w:val="00CC0A35"/>
    <w:rsid w:val="00CC1B0B"/>
    <w:rsid w:val="00CC50D4"/>
    <w:rsid w:val="00CC5F59"/>
    <w:rsid w:val="00CC7F49"/>
    <w:rsid w:val="00CD3421"/>
    <w:rsid w:val="00CD3D92"/>
    <w:rsid w:val="00CD3FD9"/>
    <w:rsid w:val="00CD5FF7"/>
    <w:rsid w:val="00CD6C2A"/>
    <w:rsid w:val="00CE0A58"/>
    <w:rsid w:val="00CE0F79"/>
    <w:rsid w:val="00CE46CA"/>
    <w:rsid w:val="00CE5355"/>
    <w:rsid w:val="00CE6DB4"/>
    <w:rsid w:val="00CF0E02"/>
    <w:rsid w:val="00CF2B3A"/>
    <w:rsid w:val="00CF3FA4"/>
    <w:rsid w:val="00CF5155"/>
    <w:rsid w:val="00CF5CAB"/>
    <w:rsid w:val="00CF73E6"/>
    <w:rsid w:val="00D02173"/>
    <w:rsid w:val="00D023E5"/>
    <w:rsid w:val="00D026CB"/>
    <w:rsid w:val="00D02B95"/>
    <w:rsid w:val="00D04818"/>
    <w:rsid w:val="00D05750"/>
    <w:rsid w:val="00D060E0"/>
    <w:rsid w:val="00D064B3"/>
    <w:rsid w:val="00D068AD"/>
    <w:rsid w:val="00D10244"/>
    <w:rsid w:val="00D118B7"/>
    <w:rsid w:val="00D13713"/>
    <w:rsid w:val="00D148F0"/>
    <w:rsid w:val="00D160C4"/>
    <w:rsid w:val="00D20D71"/>
    <w:rsid w:val="00D22ECD"/>
    <w:rsid w:val="00D23D2E"/>
    <w:rsid w:val="00D276BD"/>
    <w:rsid w:val="00D3010B"/>
    <w:rsid w:val="00D31310"/>
    <w:rsid w:val="00D333AD"/>
    <w:rsid w:val="00D333F7"/>
    <w:rsid w:val="00D3649B"/>
    <w:rsid w:val="00D365EC"/>
    <w:rsid w:val="00D37AEC"/>
    <w:rsid w:val="00D401D2"/>
    <w:rsid w:val="00D4034E"/>
    <w:rsid w:val="00D44780"/>
    <w:rsid w:val="00D44A75"/>
    <w:rsid w:val="00D46312"/>
    <w:rsid w:val="00D46CE4"/>
    <w:rsid w:val="00D507DE"/>
    <w:rsid w:val="00D51792"/>
    <w:rsid w:val="00D53833"/>
    <w:rsid w:val="00D54212"/>
    <w:rsid w:val="00D54D2B"/>
    <w:rsid w:val="00D5668C"/>
    <w:rsid w:val="00D63C45"/>
    <w:rsid w:val="00D63F86"/>
    <w:rsid w:val="00D7231C"/>
    <w:rsid w:val="00D84630"/>
    <w:rsid w:val="00D85A6F"/>
    <w:rsid w:val="00D87FE0"/>
    <w:rsid w:val="00D90098"/>
    <w:rsid w:val="00D94FB5"/>
    <w:rsid w:val="00D9567D"/>
    <w:rsid w:val="00D971DD"/>
    <w:rsid w:val="00DA0F84"/>
    <w:rsid w:val="00DA174F"/>
    <w:rsid w:val="00DA1A4F"/>
    <w:rsid w:val="00DA3FB6"/>
    <w:rsid w:val="00DA7E3D"/>
    <w:rsid w:val="00DB344C"/>
    <w:rsid w:val="00DB66EC"/>
    <w:rsid w:val="00DC37D0"/>
    <w:rsid w:val="00DC438C"/>
    <w:rsid w:val="00DC7A62"/>
    <w:rsid w:val="00DD01BB"/>
    <w:rsid w:val="00DD66FF"/>
    <w:rsid w:val="00DE12DE"/>
    <w:rsid w:val="00DE332E"/>
    <w:rsid w:val="00DE446B"/>
    <w:rsid w:val="00DE4B35"/>
    <w:rsid w:val="00DE5A4A"/>
    <w:rsid w:val="00DE5A8E"/>
    <w:rsid w:val="00DE7423"/>
    <w:rsid w:val="00DF0B8C"/>
    <w:rsid w:val="00DF1D1B"/>
    <w:rsid w:val="00DF68FE"/>
    <w:rsid w:val="00DF7000"/>
    <w:rsid w:val="00E00607"/>
    <w:rsid w:val="00E05DC7"/>
    <w:rsid w:val="00E136F6"/>
    <w:rsid w:val="00E1523C"/>
    <w:rsid w:val="00E17020"/>
    <w:rsid w:val="00E246B7"/>
    <w:rsid w:val="00E25438"/>
    <w:rsid w:val="00E258AE"/>
    <w:rsid w:val="00E259DE"/>
    <w:rsid w:val="00E26738"/>
    <w:rsid w:val="00E271F4"/>
    <w:rsid w:val="00E32B37"/>
    <w:rsid w:val="00E3307A"/>
    <w:rsid w:val="00E33191"/>
    <w:rsid w:val="00E3351B"/>
    <w:rsid w:val="00E35DA1"/>
    <w:rsid w:val="00E4084E"/>
    <w:rsid w:val="00E4111B"/>
    <w:rsid w:val="00E42205"/>
    <w:rsid w:val="00E43079"/>
    <w:rsid w:val="00E43260"/>
    <w:rsid w:val="00E439EC"/>
    <w:rsid w:val="00E45698"/>
    <w:rsid w:val="00E54C73"/>
    <w:rsid w:val="00E56DE9"/>
    <w:rsid w:val="00E60ACD"/>
    <w:rsid w:val="00E62B30"/>
    <w:rsid w:val="00E70333"/>
    <w:rsid w:val="00E70573"/>
    <w:rsid w:val="00E718B5"/>
    <w:rsid w:val="00E719C4"/>
    <w:rsid w:val="00E72026"/>
    <w:rsid w:val="00E7266F"/>
    <w:rsid w:val="00E72980"/>
    <w:rsid w:val="00E75BC7"/>
    <w:rsid w:val="00E76346"/>
    <w:rsid w:val="00E77EF7"/>
    <w:rsid w:val="00E81E3D"/>
    <w:rsid w:val="00E82DA6"/>
    <w:rsid w:val="00E83D6D"/>
    <w:rsid w:val="00E85A56"/>
    <w:rsid w:val="00E872C2"/>
    <w:rsid w:val="00E92FFA"/>
    <w:rsid w:val="00E93D08"/>
    <w:rsid w:val="00E95E7A"/>
    <w:rsid w:val="00E9641E"/>
    <w:rsid w:val="00EA6D19"/>
    <w:rsid w:val="00EA6E59"/>
    <w:rsid w:val="00EA75AE"/>
    <w:rsid w:val="00EA75CF"/>
    <w:rsid w:val="00EA79C5"/>
    <w:rsid w:val="00EA7A75"/>
    <w:rsid w:val="00EB0B53"/>
    <w:rsid w:val="00EB7536"/>
    <w:rsid w:val="00EB776D"/>
    <w:rsid w:val="00EC0A2E"/>
    <w:rsid w:val="00EC0C5B"/>
    <w:rsid w:val="00EC1D0A"/>
    <w:rsid w:val="00EC377B"/>
    <w:rsid w:val="00EC4B8B"/>
    <w:rsid w:val="00EC5378"/>
    <w:rsid w:val="00EC7701"/>
    <w:rsid w:val="00EC7E03"/>
    <w:rsid w:val="00ED292E"/>
    <w:rsid w:val="00ED2A10"/>
    <w:rsid w:val="00ED2F56"/>
    <w:rsid w:val="00ED478E"/>
    <w:rsid w:val="00ED4F70"/>
    <w:rsid w:val="00ED5D99"/>
    <w:rsid w:val="00ED5F2A"/>
    <w:rsid w:val="00ED5F60"/>
    <w:rsid w:val="00ED739F"/>
    <w:rsid w:val="00EE67C7"/>
    <w:rsid w:val="00EF032A"/>
    <w:rsid w:val="00EF07A7"/>
    <w:rsid w:val="00EF1AB8"/>
    <w:rsid w:val="00EF1B28"/>
    <w:rsid w:val="00EF3EC9"/>
    <w:rsid w:val="00F017B8"/>
    <w:rsid w:val="00F03E5C"/>
    <w:rsid w:val="00F04BFB"/>
    <w:rsid w:val="00F119F5"/>
    <w:rsid w:val="00F134B8"/>
    <w:rsid w:val="00F15212"/>
    <w:rsid w:val="00F155DD"/>
    <w:rsid w:val="00F17995"/>
    <w:rsid w:val="00F20228"/>
    <w:rsid w:val="00F203EF"/>
    <w:rsid w:val="00F217C1"/>
    <w:rsid w:val="00F22798"/>
    <w:rsid w:val="00F23FC3"/>
    <w:rsid w:val="00F24D9F"/>
    <w:rsid w:val="00F24DEA"/>
    <w:rsid w:val="00F251F3"/>
    <w:rsid w:val="00F25322"/>
    <w:rsid w:val="00F27584"/>
    <w:rsid w:val="00F27DD0"/>
    <w:rsid w:val="00F31D08"/>
    <w:rsid w:val="00F330C2"/>
    <w:rsid w:val="00F34231"/>
    <w:rsid w:val="00F362BF"/>
    <w:rsid w:val="00F3743E"/>
    <w:rsid w:val="00F40568"/>
    <w:rsid w:val="00F410DE"/>
    <w:rsid w:val="00F42F5F"/>
    <w:rsid w:val="00F43403"/>
    <w:rsid w:val="00F45182"/>
    <w:rsid w:val="00F50F73"/>
    <w:rsid w:val="00F51859"/>
    <w:rsid w:val="00F52A3D"/>
    <w:rsid w:val="00F53754"/>
    <w:rsid w:val="00F56D36"/>
    <w:rsid w:val="00F57BDA"/>
    <w:rsid w:val="00F57C89"/>
    <w:rsid w:val="00F601D7"/>
    <w:rsid w:val="00F62D59"/>
    <w:rsid w:val="00F63BBE"/>
    <w:rsid w:val="00F6563E"/>
    <w:rsid w:val="00F65640"/>
    <w:rsid w:val="00F67CE2"/>
    <w:rsid w:val="00F71126"/>
    <w:rsid w:val="00F72AB9"/>
    <w:rsid w:val="00F72B9A"/>
    <w:rsid w:val="00F73383"/>
    <w:rsid w:val="00F776FF"/>
    <w:rsid w:val="00F805CB"/>
    <w:rsid w:val="00F851A8"/>
    <w:rsid w:val="00F871CD"/>
    <w:rsid w:val="00F931AC"/>
    <w:rsid w:val="00F9394C"/>
    <w:rsid w:val="00F939C3"/>
    <w:rsid w:val="00F948BF"/>
    <w:rsid w:val="00F96F0A"/>
    <w:rsid w:val="00FA0653"/>
    <w:rsid w:val="00FA0C40"/>
    <w:rsid w:val="00FA1133"/>
    <w:rsid w:val="00FA1203"/>
    <w:rsid w:val="00FA49F1"/>
    <w:rsid w:val="00FA7C47"/>
    <w:rsid w:val="00FB268F"/>
    <w:rsid w:val="00FB358E"/>
    <w:rsid w:val="00FB3B08"/>
    <w:rsid w:val="00FC0E22"/>
    <w:rsid w:val="00FC11E8"/>
    <w:rsid w:val="00FC170C"/>
    <w:rsid w:val="00FC4192"/>
    <w:rsid w:val="00FC51B6"/>
    <w:rsid w:val="00FC55C5"/>
    <w:rsid w:val="00FC5E62"/>
    <w:rsid w:val="00FD25B9"/>
    <w:rsid w:val="00FD2688"/>
    <w:rsid w:val="00FD28CE"/>
    <w:rsid w:val="00FD4279"/>
    <w:rsid w:val="00FD4DFB"/>
    <w:rsid w:val="00FD5181"/>
    <w:rsid w:val="00FD5243"/>
    <w:rsid w:val="00FD55B8"/>
    <w:rsid w:val="00FD5E6E"/>
    <w:rsid w:val="00FE01F6"/>
    <w:rsid w:val="00FE045B"/>
    <w:rsid w:val="00FE108A"/>
    <w:rsid w:val="00FE1693"/>
    <w:rsid w:val="00FE31DC"/>
    <w:rsid w:val="00FE7469"/>
    <w:rsid w:val="00FF2394"/>
    <w:rsid w:val="00FF5528"/>
    <w:rsid w:val="00FF6EC5"/>
    <w:rsid w:val="00FF7B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6895567"/>
  <w15:chartTrackingRefBased/>
  <w15:docId w15:val="{55CABB5F-BA94-46CD-BA84-D18471B4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12901"/>
    <w:pPr>
      <w:spacing w:after="240"/>
      <w:jc w:val="center"/>
      <w:outlineLvl w:val="0"/>
    </w:pPr>
    <w:rPr>
      <w:b/>
      <w:sz w:val="32"/>
      <w:szCs w:val="32"/>
    </w:rPr>
  </w:style>
  <w:style w:type="paragraph" w:styleId="Heading2">
    <w:name w:val="heading 2"/>
    <w:basedOn w:val="Heading1"/>
    <w:next w:val="Normal"/>
    <w:link w:val="Heading2Char"/>
    <w:uiPriority w:val="9"/>
    <w:unhideWhenUsed/>
    <w:qFormat/>
    <w:rsid w:val="00A12901"/>
    <w:pPr>
      <w:jc w:val="left"/>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48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12901"/>
    <w:rPr>
      <w:rFonts w:ascii="Times New Roman" w:eastAsia="Times New Roman" w:hAnsi="Times New Roman" w:cs="Times New Roman"/>
      <w:b/>
      <w:sz w:val="32"/>
      <w:szCs w:val="32"/>
    </w:rPr>
  </w:style>
  <w:style w:type="character" w:styleId="BookTitle">
    <w:name w:val="Book Title"/>
    <w:uiPriority w:val="33"/>
    <w:qFormat/>
    <w:rsid w:val="006D1480"/>
    <w:rPr>
      <w:i/>
      <w:iCs/>
      <w:smallCaps/>
      <w:spacing w:val="5"/>
    </w:rPr>
  </w:style>
  <w:style w:type="table" w:styleId="TableGrid">
    <w:name w:val="Table Grid"/>
    <w:basedOn w:val="TableNormal"/>
    <w:uiPriority w:val="59"/>
    <w:rsid w:val="0014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1"/>
    <w:qFormat/>
    <w:rsid w:val="003561C9"/>
    <w:pPr>
      <w:spacing w:after="200" w:line="276" w:lineRule="auto"/>
      <w:ind w:left="720"/>
      <w:contextualSpacing/>
    </w:pPr>
    <w:rPr>
      <w:rFonts w:ascii="Arial" w:eastAsiaTheme="minorHAnsi" w:hAnsi="Arial" w:cstheme="minorBidi"/>
      <w:sz w:val="22"/>
      <w:szCs w:val="22"/>
    </w:rPr>
  </w:style>
  <w:style w:type="character" w:styleId="Hyperlink">
    <w:name w:val="Hyperlink"/>
    <w:basedOn w:val="DefaultParagraphFont"/>
    <w:uiPriority w:val="99"/>
    <w:unhideWhenUsed/>
    <w:rsid w:val="00E35DA1"/>
    <w:rPr>
      <w:color w:val="0563C1" w:themeColor="hyperlink"/>
      <w:u w:val="single"/>
    </w:rPr>
  </w:style>
  <w:style w:type="paragraph" w:styleId="NoSpacing">
    <w:name w:val="No Spacing"/>
    <w:uiPriority w:val="1"/>
    <w:qFormat/>
    <w:rsid w:val="00C731C5"/>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936EE5"/>
    <w:pPr>
      <w:widowControl w:val="0"/>
      <w:autoSpaceDE w:val="0"/>
      <w:autoSpaceDN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semiHidden/>
    <w:rsid w:val="00936EE5"/>
    <w:rPr>
      <w:rFonts w:ascii="Palatino Linotype" w:eastAsia="Palatino Linotype" w:hAnsi="Palatino Linotype" w:cs="Palatino Linotype"/>
      <w:sz w:val="24"/>
      <w:szCs w:val="24"/>
    </w:rPr>
  </w:style>
  <w:style w:type="paragraph" w:styleId="Header">
    <w:name w:val="header"/>
    <w:basedOn w:val="Normal"/>
    <w:link w:val="HeaderChar"/>
    <w:uiPriority w:val="99"/>
    <w:unhideWhenUsed/>
    <w:rsid w:val="008337E4"/>
    <w:pPr>
      <w:tabs>
        <w:tab w:val="center" w:pos="4513"/>
        <w:tab w:val="right" w:pos="9026"/>
      </w:tabs>
    </w:pPr>
  </w:style>
  <w:style w:type="character" w:customStyle="1" w:styleId="HeaderChar">
    <w:name w:val="Header Char"/>
    <w:basedOn w:val="DefaultParagraphFont"/>
    <w:link w:val="Header"/>
    <w:uiPriority w:val="99"/>
    <w:rsid w:val="008337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37E4"/>
    <w:pPr>
      <w:tabs>
        <w:tab w:val="center" w:pos="4513"/>
        <w:tab w:val="right" w:pos="9026"/>
      </w:tabs>
    </w:pPr>
  </w:style>
  <w:style w:type="character" w:customStyle="1" w:styleId="FooterChar">
    <w:name w:val="Footer Char"/>
    <w:basedOn w:val="DefaultParagraphFont"/>
    <w:link w:val="Footer"/>
    <w:uiPriority w:val="99"/>
    <w:rsid w:val="008337E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8748F"/>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08748F"/>
    <w:rPr>
      <w:rFonts w:ascii="Arial" w:hAnsi="Arial" w:cs="Arial"/>
      <w:sz w:val="20"/>
      <w:szCs w:val="20"/>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1"/>
    <w:qFormat/>
    <w:locked/>
    <w:rsid w:val="0008748F"/>
    <w:rPr>
      <w:rFonts w:ascii="Arial" w:hAnsi="Arial"/>
    </w:rPr>
  </w:style>
  <w:style w:type="character" w:styleId="FootnoteReference">
    <w:name w:val="footnote reference"/>
    <w:basedOn w:val="DefaultParagraphFont"/>
    <w:uiPriority w:val="99"/>
    <w:semiHidden/>
    <w:unhideWhenUsed/>
    <w:rsid w:val="0008748F"/>
    <w:rPr>
      <w:vertAlign w:val="superscript"/>
    </w:rPr>
  </w:style>
  <w:style w:type="character" w:styleId="CommentReference">
    <w:name w:val="annotation reference"/>
    <w:basedOn w:val="DefaultParagraphFont"/>
    <w:uiPriority w:val="99"/>
    <w:semiHidden/>
    <w:unhideWhenUsed/>
    <w:rsid w:val="00FD2688"/>
    <w:rPr>
      <w:sz w:val="16"/>
      <w:szCs w:val="16"/>
    </w:rPr>
  </w:style>
  <w:style w:type="paragraph" w:styleId="CommentText">
    <w:name w:val="annotation text"/>
    <w:basedOn w:val="Normal"/>
    <w:link w:val="CommentTextChar"/>
    <w:uiPriority w:val="99"/>
    <w:unhideWhenUsed/>
    <w:rsid w:val="008F07C4"/>
    <w:pPr>
      <w:spacing w:after="20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8F07C4"/>
    <w:rPr>
      <w:rFonts w:ascii="Arial" w:hAnsi="Arial"/>
      <w:sz w:val="20"/>
      <w:szCs w:val="20"/>
    </w:rPr>
  </w:style>
  <w:style w:type="paragraph" w:customStyle="1" w:styleId="null">
    <w:name w:val="null"/>
    <w:basedOn w:val="Normal"/>
    <w:rsid w:val="007705B9"/>
    <w:pPr>
      <w:spacing w:before="100" w:beforeAutospacing="1" w:after="100" w:afterAutospacing="1"/>
    </w:pPr>
    <w:rPr>
      <w:rFonts w:ascii="Calibri" w:eastAsiaTheme="minorHAnsi" w:hAnsi="Calibri" w:cs="Calibri"/>
      <w:sz w:val="22"/>
      <w:szCs w:val="22"/>
      <w:lang w:eastAsia="en-AU"/>
    </w:rPr>
  </w:style>
  <w:style w:type="paragraph" w:styleId="NormalWeb">
    <w:name w:val="Normal (Web)"/>
    <w:basedOn w:val="Normal"/>
    <w:uiPriority w:val="99"/>
    <w:semiHidden/>
    <w:unhideWhenUsed/>
    <w:rsid w:val="0067046D"/>
    <w:pPr>
      <w:spacing w:before="100" w:beforeAutospacing="1" w:after="100" w:afterAutospacing="1"/>
    </w:pPr>
    <w:rPr>
      <w:rFonts w:ascii="Calibri" w:eastAsiaTheme="minorHAnsi" w:hAnsi="Calibri" w:cs="Calibri"/>
      <w:sz w:val="22"/>
      <w:szCs w:val="22"/>
      <w:lang w:eastAsia="en-AU"/>
    </w:rPr>
  </w:style>
  <w:style w:type="paragraph" w:styleId="CommentSubject">
    <w:name w:val="annotation subject"/>
    <w:basedOn w:val="CommentText"/>
    <w:next w:val="CommentText"/>
    <w:link w:val="CommentSubjectChar"/>
    <w:uiPriority w:val="99"/>
    <w:semiHidden/>
    <w:unhideWhenUsed/>
    <w:rsid w:val="004A0D2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A0D24"/>
    <w:rPr>
      <w:rFonts w:ascii="Times New Roman" w:eastAsia="Times New Roman" w:hAnsi="Times New Roman" w:cs="Times New Roman"/>
      <w:b/>
      <w:bCs/>
      <w:sz w:val="20"/>
      <w:szCs w:val="20"/>
    </w:rPr>
  </w:style>
  <w:style w:type="paragraph" w:styleId="Revision">
    <w:name w:val="Revision"/>
    <w:hidden/>
    <w:uiPriority w:val="99"/>
    <w:semiHidden/>
    <w:rsid w:val="00CC5F5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D558C"/>
    <w:rPr>
      <w:color w:val="954F72" w:themeColor="followedHyperlink"/>
      <w:u w:val="single"/>
    </w:rPr>
  </w:style>
  <w:style w:type="character" w:customStyle="1" w:styleId="Heading2Char">
    <w:name w:val="Heading 2 Char"/>
    <w:basedOn w:val="DefaultParagraphFont"/>
    <w:link w:val="Heading2"/>
    <w:uiPriority w:val="9"/>
    <w:rsid w:val="00A12901"/>
    <w:rPr>
      <w:rFonts w:ascii="Times New Roman" w:eastAsia="Times New Roman" w:hAnsi="Times New Roman" w:cs="Times New Roman"/>
      <w:b/>
      <w:sz w:val="28"/>
      <w:szCs w:val="28"/>
    </w:rPr>
  </w:style>
  <w:style w:type="paragraph" w:styleId="Title">
    <w:name w:val="Title"/>
    <w:basedOn w:val="Normal"/>
    <w:next w:val="Normal"/>
    <w:link w:val="TitleChar"/>
    <w:uiPriority w:val="10"/>
    <w:qFormat/>
    <w:rsid w:val="004E5863"/>
    <w:pPr>
      <w:spacing w:before="360"/>
      <w:jc w:val="center"/>
    </w:pPr>
    <w:rPr>
      <w:sz w:val="32"/>
      <w:szCs w:val="32"/>
    </w:rPr>
  </w:style>
  <w:style w:type="character" w:customStyle="1" w:styleId="TitleChar">
    <w:name w:val="Title Char"/>
    <w:basedOn w:val="DefaultParagraphFont"/>
    <w:link w:val="Title"/>
    <w:uiPriority w:val="10"/>
    <w:rsid w:val="004E5863"/>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469">
      <w:bodyDiv w:val="1"/>
      <w:marLeft w:val="0"/>
      <w:marRight w:val="0"/>
      <w:marTop w:val="0"/>
      <w:marBottom w:val="0"/>
      <w:divBdr>
        <w:top w:val="none" w:sz="0" w:space="0" w:color="auto"/>
        <w:left w:val="none" w:sz="0" w:space="0" w:color="auto"/>
        <w:bottom w:val="none" w:sz="0" w:space="0" w:color="auto"/>
        <w:right w:val="none" w:sz="0" w:space="0" w:color="auto"/>
      </w:divBdr>
    </w:div>
    <w:div w:id="12389691">
      <w:bodyDiv w:val="1"/>
      <w:marLeft w:val="0"/>
      <w:marRight w:val="0"/>
      <w:marTop w:val="0"/>
      <w:marBottom w:val="0"/>
      <w:divBdr>
        <w:top w:val="none" w:sz="0" w:space="0" w:color="auto"/>
        <w:left w:val="none" w:sz="0" w:space="0" w:color="auto"/>
        <w:bottom w:val="none" w:sz="0" w:space="0" w:color="auto"/>
        <w:right w:val="none" w:sz="0" w:space="0" w:color="auto"/>
      </w:divBdr>
    </w:div>
    <w:div w:id="29189050">
      <w:bodyDiv w:val="1"/>
      <w:marLeft w:val="0"/>
      <w:marRight w:val="0"/>
      <w:marTop w:val="0"/>
      <w:marBottom w:val="0"/>
      <w:divBdr>
        <w:top w:val="none" w:sz="0" w:space="0" w:color="auto"/>
        <w:left w:val="none" w:sz="0" w:space="0" w:color="auto"/>
        <w:bottom w:val="none" w:sz="0" w:space="0" w:color="auto"/>
        <w:right w:val="none" w:sz="0" w:space="0" w:color="auto"/>
      </w:divBdr>
    </w:div>
    <w:div w:id="30081761">
      <w:bodyDiv w:val="1"/>
      <w:marLeft w:val="0"/>
      <w:marRight w:val="0"/>
      <w:marTop w:val="0"/>
      <w:marBottom w:val="0"/>
      <w:divBdr>
        <w:top w:val="none" w:sz="0" w:space="0" w:color="auto"/>
        <w:left w:val="none" w:sz="0" w:space="0" w:color="auto"/>
        <w:bottom w:val="none" w:sz="0" w:space="0" w:color="auto"/>
        <w:right w:val="none" w:sz="0" w:space="0" w:color="auto"/>
      </w:divBdr>
    </w:div>
    <w:div w:id="32967911">
      <w:bodyDiv w:val="1"/>
      <w:marLeft w:val="0"/>
      <w:marRight w:val="0"/>
      <w:marTop w:val="0"/>
      <w:marBottom w:val="0"/>
      <w:divBdr>
        <w:top w:val="none" w:sz="0" w:space="0" w:color="auto"/>
        <w:left w:val="none" w:sz="0" w:space="0" w:color="auto"/>
        <w:bottom w:val="none" w:sz="0" w:space="0" w:color="auto"/>
        <w:right w:val="none" w:sz="0" w:space="0" w:color="auto"/>
      </w:divBdr>
    </w:div>
    <w:div w:id="40635871">
      <w:bodyDiv w:val="1"/>
      <w:marLeft w:val="0"/>
      <w:marRight w:val="0"/>
      <w:marTop w:val="0"/>
      <w:marBottom w:val="0"/>
      <w:divBdr>
        <w:top w:val="none" w:sz="0" w:space="0" w:color="auto"/>
        <w:left w:val="none" w:sz="0" w:space="0" w:color="auto"/>
        <w:bottom w:val="none" w:sz="0" w:space="0" w:color="auto"/>
        <w:right w:val="none" w:sz="0" w:space="0" w:color="auto"/>
      </w:divBdr>
    </w:div>
    <w:div w:id="65304567">
      <w:bodyDiv w:val="1"/>
      <w:marLeft w:val="0"/>
      <w:marRight w:val="0"/>
      <w:marTop w:val="0"/>
      <w:marBottom w:val="0"/>
      <w:divBdr>
        <w:top w:val="none" w:sz="0" w:space="0" w:color="auto"/>
        <w:left w:val="none" w:sz="0" w:space="0" w:color="auto"/>
        <w:bottom w:val="none" w:sz="0" w:space="0" w:color="auto"/>
        <w:right w:val="none" w:sz="0" w:space="0" w:color="auto"/>
      </w:divBdr>
    </w:div>
    <w:div w:id="75711465">
      <w:bodyDiv w:val="1"/>
      <w:marLeft w:val="0"/>
      <w:marRight w:val="0"/>
      <w:marTop w:val="0"/>
      <w:marBottom w:val="0"/>
      <w:divBdr>
        <w:top w:val="none" w:sz="0" w:space="0" w:color="auto"/>
        <w:left w:val="none" w:sz="0" w:space="0" w:color="auto"/>
        <w:bottom w:val="none" w:sz="0" w:space="0" w:color="auto"/>
        <w:right w:val="none" w:sz="0" w:space="0" w:color="auto"/>
      </w:divBdr>
    </w:div>
    <w:div w:id="82269345">
      <w:bodyDiv w:val="1"/>
      <w:marLeft w:val="0"/>
      <w:marRight w:val="0"/>
      <w:marTop w:val="0"/>
      <w:marBottom w:val="0"/>
      <w:divBdr>
        <w:top w:val="none" w:sz="0" w:space="0" w:color="auto"/>
        <w:left w:val="none" w:sz="0" w:space="0" w:color="auto"/>
        <w:bottom w:val="none" w:sz="0" w:space="0" w:color="auto"/>
        <w:right w:val="none" w:sz="0" w:space="0" w:color="auto"/>
      </w:divBdr>
    </w:div>
    <w:div w:id="102922615">
      <w:bodyDiv w:val="1"/>
      <w:marLeft w:val="0"/>
      <w:marRight w:val="0"/>
      <w:marTop w:val="0"/>
      <w:marBottom w:val="0"/>
      <w:divBdr>
        <w:top w:val="none" w:sz="0" w:space="0" w:color="auto"/>
        <w:left w:val="none" w:sz="0" w:space="0" w:color="auto"/>
        <w:bottom w:val="none" w:sz="0" w:space="0" w:color="auto"/>
        <w:right w:val="none" w:sz="0" w:space="0" w:color="auto"/>
      </w:divBdr>
    </w:div>
    <w:div w:id="104618415">
      <w:bodyDiv w:val="1"/>
      <w:marLeft w:val="0"/>
      <w:marRight w:val="0"/>
      <w:marTop w:val="0"/>
      <w:marBottom w:val="0"/>
      <w:divBdr>
        <w:top w:val="none" w:sz="0" w:space="0" w:color="auto"/>
        <w:left w:val="none" w:sz="0" w:space="0" w:color="auto"/>
        <w:bottom w:val="none" w:sz="0" w:space="0" w:color="auto"/>
        <w:right w:val="none" w:sz="0" w:space="0" w:color="auto"/>
      </w:divBdr>
    </w:div>
    <w:div w:id="116293051">
      <w:bodyDiv w:val="1"/>
      <w:marLeft w:val="0"/>
      <w:marRight w:val="0"/>
      <w:marTop w:val="0"/>
      <w:marBottom w:val="0"/>
      <w:divBdr>
        <w:top w:val="none" w:sz="0" w:space="0" w:color="auto"/>
        <w:left w:val="none" w:sz="0" w:space="0" w:color="auto"/>
        <w:bottom w:val="none" w:sz="0" w:space="0" w:color="auto"/>
        <w:right w:val="none" w:sz="0" w:space="0" w:color="auto"/>
      </w:divBdr>
    </w:div>
    <w:div w:id="125242462">
      <w:bodyDiv w:val="1"/>
      <w:marLeft w:val="0"/>
      <w:marRight w:val="0"/>
      <w:marTop w:val="0"/>
      <w:marBottom w:val="0"/>
      <w:divBdr>
        <w:top w:val="none" w:sz="0" w:space="0" w:color="auto"/>
        <w:left w:val="none" w:sz="0" w:space="0" w:color="auto"/>
        <w:bottom w:val="none" w:sz="0" w:space="0" w:color="auto"/>
        <w:right w:val="none" w:sz="0" w:space="0" w:color="auto"/>
      </w:divBdr>
    </w:div>
    <w:div w:id="128280328">
      <w:bodyDiv w:val="1"/>
      <w:marLeft w:val="0"/>
      <w:marRight w:val="0"/>
      <w:marTop w:val="0"/>
      <w:marBottom w:val="0"/>
      <w:divBdr>
        <w:top w:val="none" w:sz="0" w:space="0" w:color="auto"/>
        <w:left w:val="none" w:sz="0" w:space="0" w:color="auto"/>
        <w:bottom w:val="none" w:sz="0" w:space="0" w:color="auto"/>
        <w:right w:val="none" w:sz="0" w:space="0" w:color="auto"/>
      </w:divBdr>
    </w:div>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147019419">
      <w:bodyDiv w:val="1"/>
      <w:marLeft w:val="0"/>
      <w:marRight w:val="0"/>
      <w:marTop w:val="0"/>
      <w:marBottom w:val="0"/>
      <w:divBdr>
        <w:top w:val="none" w:sz="0" w:space="0" w:color="auto"/>
        <w:left w:val="none" w:sz="0" w:space="0" w:color="auto"/>
        <w:bottom w:val="none" w:sz="0" w:space="0" w:color="auto"/>
        <w:right w:val="none" w:sz="0" w:space="0" w:color="auto"/>
      </w:divBdr>
    </w:div>
    <w:div w:id="147287961">
      <w:bodyDiv w:val="1"/>
      <w:marLeft w:val="0"/>
      <w:marRight w:val="0"/>
      <w:marTop w:val="0"/>
      <w:marBottom w:val="0"/>
      <w:divBdr>
        <w:top w:val="none" w:sz="0" w:space="0" w:color="auto"/>
        <w:left w:val="none" w:sz="0" w:space="0" w:color="auto"/>
        <w:bottom w:val="none" w:sz="0" w:space="0" w:color="auto"/>
        <w:right w:val="none" w:sz="0" w:space="0" w:color="auto"/>
      </w:divBdr>
    </w:div>
    <w:div w:id="156501466">
      <w:bodyDiv w:val="1"/>
      <w:marLeft w:val="0"/>
      <w:marRight w:val="0"/>
      <w:marTop w:val="0"/>
      <w:marBottom w:val="0"/>
      <w:divBdr>
        <w:top w:val="none" w:sz="0" w:space="0" w:color="auto"/>
        <w:left w:val="none" w:sz="0" w:space="0" w:color="auto"/>
        <w:bottom w:val="none" w:sz="0" w:space="0" w:color="auto"/>
        <w:right w:val="none" w:sz="0" w:space="0" w:color="auto"/>
      </w:divBdr>
    </w:div>
    <w:div w:id="158859728">
      <w:bodyDiv w:val="1"/>
      <w:marLeft w:val="0"/>
      <w:marRight w:val="0"/>
      <w:marTop w:val="0"/>
      <w:marBottom w:val="0"/>
      <w:divBdr>
        <w:top w:val="none" w:sz="0" w:space="0" w:color="auto"/>
        <w:left w:val="none" w:sz="0" w:space="0" w:color="auto"/>
        <w:bottom w:val="none" w:sz="0" w:space="0" w:color="auto"/>
        <w:right w:val="none" w:sz="0" w:space="0" w:color="auto"/>
      </w:divBdr>
    </w:div>
    <w:div w:id="159010582">
      <w:bodyDiv w:val="1"/>
      <w:marLeft w:val="0"/>
      <w:marRight w:val="0"/>
      <w:marTop w:val="0"/>
      <w:marBottom w:val="0"/>
      <w:divBdr>
        <w:top w:val="none" w:sz="0" w:space="0" w:color="auto"/>
        <w:left w:val="none" w:sz="0" w:space="0" w:color="auto"/>
        <w:bottom w:val="none" w:sz="0" w:space="0" w:color="auto"/>
        <w:right w:val="none" w:sz="0" w:space="0" w:color="auto"/>
      </w:divBdr>
    </w:div>
    <w:div w:id="166988378">
      <w:bodyDiv w:val="1"/>
      <w:marLeft w:val="0"/>
      <w:marRight w:val="0"/>
      <w:marTop w:val="0"/>
      <w:marBottom w:val="0"/>
      <w:divBdr>
        <w:top w:val="none" w:sz="0" w:space="0" w:color="auto"/>
        <w:left w:val="none" w:sz="0" w:space="0" w:color="auto"/>
        <w:bottom w:val="none" w:sz="0" w:space="0" w:color="auto"/>
        <w:right w:val="none" w:sz="0" w:space="0" w:color="auto"/>
      </w:divBdr>
    </w:div>
    <w:div w:id="170607729">
      <w:bodyDiv w:val="1"/>
      <w:marLeft w:val="0"/>
      <w:marRight w:val="0"/>
      <w:marTop w:val="0"/>
      <w:marBottom w:val="0"/>
      <w:divBdr>
        <w:top w:val="none" w:sz="0" w:space="0" w:color="auto"/>
        <w:left w:val="none" w:sz="0" w:space="0" w:color="auto"/>
        <w:bottom w:val="none" w:sz="0" w:space="0" w:color="auto"/>
        <w:right w:val="none" w:sz="0" w:space="0" w:color="auto"/>
      </w:divBdr>
    </w:div>
    <w:div w:id="172116199">
      <w:bodyDiv w:val="1"/>
      <w:marLeft w:val="0"/>
      <w:marRight w:val="0"/>
      <w:marTop w:val="0"/>
      <w:marBottom w:val="0"/>
      <w:divBdr>
        <w:top w:val="none" w:sz="0" w:space="0" w:color="auto"/>
        <w:left w:val="none" w:sz="0" w:space="0" w:color="auto"/>
        <w:bottom w:val="none" w:sz="0" w:space="0" w:color="auto"/>
        <w:right w:val="none" w:sz="0" w:space="0" w:color="auto"/>
      </w:divBdr>
    </w:div>
    <w:div w:id="236861723">
      <w:bodyDiv w:val="1"/>
      <w:marLeft w:val="0"/>
      <w:marRight w:val="0"/>
      <w:marTop w:val="0"/>
      <w:marBottom w:val="0"/>
      <w:divBdr>
        <w:top w:val="none" w:sz="0" w:space="0" w:color="auto"/>
        <w:left w:val="none" w:sz="0" w:space="0" w:color="auto"/>
        <w:bottom w:val="none" w:sz="0" w:space="0" w:color="auto"/>
        <w:right w:val="none" w:sz="0" w:space="0" w:color="auto"/>
      </w:divBdr>
    </w:div>
    <w:div w:id="244461057">
      <w:bodyDiv w:val="1"/>
      <w:marLeft w:val="0"/>
      <w:marRight w:val="0"/>
      <w:marTop w:val="0"/>
      <w:marBottom w:val="0"/>
      <w:divBdr>
        <w:top w:val="none" w:sz="0" w:space="0" w:color="auto"/>
        <w:left w:val="none" w:sz="0" w:space="0" w:color="auto"/>
        <w:bottom w:val="none" w:sz="0" w:space="0" w:color="auto"/>
        <w:right w:val="none" w:sz="0" w:space="0" w:color="auto"/>
      </w:divBdr>
    </w:div>
    <w:div w:id="248082773">
      <w:bodyDiv w:val="1"/>
      <w:marLeft w:val="0"/>
      <w:marRight w:val="0"/>
      <w:marTop w:val="0"/>
      <w:marBottom w:val="0"/>
      <w:divBdr>
        <w:top w:val="none" w:sz="0" w:space="0" w:color="auto"/>
        <w:left w:val="none" w:sz="0" w:space="0" w:color="auto"/>
        <w:bottom w:val="none" w:sz="0" w:space="0" w:color="auto"/>
        <w:right w:val="none" w:sz="0" w:space="0" w:color="auto"/>
      </w:divBdr>
    </w:div>
    <w:div w:id="277414343">
      <w:bodyDiv w:val="1"/>
      <w:marLeft w:val="0"/>
      <w:marRight w:val="0"/>
      <w:marTop w:val="0"/>
      <w:marBottom w:val="0"/>
      <w:divBdr>
        <w:top w:val="none" w:sz="0" w:space="0" w:color="auto"/>
        <w:left w:val="none" w:sz="0" w:space="0" w:color="auto"/>
        <w:bottom w:val="none" w:sz="0" w:space="0" w:color="auto"/>
        <w:right w:val="none" w:sz="0" w:space="0" w:color="auto"/>
      </w:divBdr>
    </w:div>
    <w:div w:id="277488567">
      <w:bodyDiv w:val="1"/>
      <w:marLeft w:val="0"/>
      <w:marRight w:val="0"/>
      <w:marTop w:val="0"/>
      <w:marBottom w:val="0"/>
      <w:divBdr>
        <w:top w:val="none" w:sz="0" w:space="0" w:color="auto"/>
        <w:left w:val="none" w:sz="0" w:space="0" w:color="auto"/>
        <w:bottom w:val="none" w:sz="0" w:space="0" w:color="auto"/>
        <w:right w:val="none" w:sz="0" w:space="0" w:color="auto"/>
      </w:divBdr>
    </w:div>
    <w:div w:id="283124063">
      <w:bodyDiv w:val="1"/>
      <w:marLeft w:val="0"/>
      <w:marRight w:val="0"/>
      <w:marTop w:val="0"/>
      <w:marBottom w:val="0"/>
      <w:divBdr>
        <w:top w:val="none" w:sz="0" w:space="0" w:color="auto"/>
        <w:left w:val="none" w:sz="0" w:space="0" w:color="auto"/>
        <w:bottom w:val="none" w:sz="0" w:space="0" w:color="auto"/>
        <w:right w:val="none" w:sz="0" w:space="0" w:color="auto"/>
      </w:divBdr>
    </w:div>
    <w:div w:id="283270904">
      <w:bodyDiv w:val="1"/>
      <w:marLeft w:val="0"/>
      <w:marRight w:val="0"/>
      <w:marTop w:val="0"/>
      <w:marBottom w:val="0"/>
      <w:divBdr>
        <w:top w:val="none" w:sz="0" w:space="0" w:color="auto"/>
        <w:left w:val="none" w:sz="0" w:space="0" w:color="auto"/>
        <w:bottom w:val="none" w:sz="0" w:space="0" w:color="auto"/>
        <w:right w:val="none" w:sz="0" w:space="0" w:color="auto"/>
      </w:divBdr>
    </w:div>
    <w:div w:id="283660517">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295650390">
      <w:bodyDiv w:val="1"/>
      <w:marLeft w:val="0"/>
      <w:marRight w:val="0"/>
      <w:marTop w:val="0"/>
      <w:marBottom w:val="0"/>
      <w:divBdr>
        <w:top w:val="none" w:sz="0" w:space="0" w:color="auto"/>
        <w:left w:val="none" w:sz="0" w:space="0" w:color="auto"/>
        <w:bottom w:val="none" w:sz="0" w:space="0" w:color="auto"/>
        <w:right w:val="none" w:sz="0" w:space="0" w:color="auto"/>
      </w:divBdr>
    </w:div>
    <w:div w:id="301817228">
      <w:bodyDiv w:val="1"/>
      <w:marLeft w:val="0"/>
      <w:marRight w:val="0"/>
      <w:marTop w:val="0"/>
      <w:marBottom w:val="0"/>
      <w:divBdr>
        <w:top w:val="none" w:sz="0" w:space="0" w:color="auto"/>
        <w:left w:val="none" w:sz="0" w:space="0" w:color="auto"/>
        <w:bottom w:val="none" w:sz="0" w:space="0" w:color="auto"/>
        <w:right w:val="none" w:sz="0" w:space="0" w:color="auto"/>
      </w:divBdr>
    </w:div>
    <w:div w:id="302009431">
      <w:bodyDiv w:val="1"/>
      <w:marLeft w:val="0"/>
      <w:marRight w:val="0"/>
      <w:marTop w:val="0"/>
      <w:marBottom w:val="0"/>
      <w:divBdr>
        <w:top w:val="none" w:sz="0" w:space="0" w:color="auto"/>
        <w:left w:val="none" w:sz="0" w:space="0" w:color="auto"/>
        <w:bottom w:val="none" w:sz="0" w:space="0" w:color="auto"/>
        <w:right w:val="none" w:sz="0" w:space="0" w:color="auto"/>
      </w:divBdr>
    </w:div>
    <w:div w:id="318702127">
      <w:bodyDiv w:val="1"/>
      <w:marLeft w:val="0"/>
      <w:marRight w:val="0"/>
      <w:marTop w:val="0"/>
      <w:marBottom w:val="0"/>
      <w:divBdr>
        <w:top w:val="none" w:sz="0" w:space="0" w:color="auto"/>
        <w:left w:val="none" w:sz="0" w:space="0" w:color="auto"/>
        <w:bottom w:val="none" w:sz="0" w:space="0" w:color="auto"/>
        <w:right w:val="none" w:sz="0" w:space="0" w:color="auto"/>
      </w:divBdr>
    </w:div>
    <w:div w:id="328605082">
      <w:bodyDiv w:val="1"/>
      <w:marLeft w:val="0"/>
      <w:marRight w:val="0"/>
      <w:marTop w:val="0"/>
      <w:marBottom w:val="0"/>
      <w:divBdr>
        <w:top w:val="none" w:sz="0" w:space="0" w:color="auto"/>
        <w:left w:val="none" w:sz="0" w:space="0" w:color="auto"/>
        <w:bottom w:val="none" w:sz="0" w:space="0" w:color="auto"/>
        <w:right w:val="none" w:sz="0" w:space="0" w:color="auto"/>
      </w:divBdr>
    </w:div>
    <w:div w:id="332727953">
      <w:bodyDiv w:val="1"/>
      <w:marLeft w:val="0"/>
      <w:marRight w:val="0"/>
      <w:marTop w:val="0"/>
      <w:marBottom w:val="0"/>
      <w:divBdr>
        <w:top w:val="none" w:sz="0" w:space="0" w:color="auto"/>
        <w:left w:val="none" w:sz="0" w:space="0" w:color="auto"/>
        <w:bottom w:val="none" w:sz="0" w:space="0" w:color="auto"/>
        <w:right w:val="none" w:sz="0" w:space="0" w:color="auto"/>
      </w:divBdr>
    </w:div>
    <w:div w:id="348140352">
      <w:bodyDiv w:val="1"/>
      <w:marLeft w:val="0"/>
      <w:marRight w:val="0"/>
      <w:marTop w:val="0"/>
      <w:marBottom w:val="0"/>
      <w:divBdr>
        <w:top w:val="none" w:sz="0" w:space="0" w:color="auto"/>
        <w:left w:val="none" w:sz="0" w:space="0" w:color="auto"/>
        <w:bottom w:val="none" w:sz="0" w:space="0" w:color="auto"/>
        <w:right w:val="none" w:sz="0" w:space="0" w:color="auto"/>
      </w:divBdr>
    </w:div>
    <w:div w:id="355348504">
      <w:bodyDiv w:val="1"/>
      <w:marLeft w:val="0"/>
      <w:marRight w:val="0"/>
      <w:marTop w:val="0"/>
      <w:marBottom w:val="0"/>
      <w:divBdr>
        <w:top w:val="none" w:sz="0" w:space="0" w:color="auto"/>
        <w:left w:val="none" w:sz="0" w:space="0" w:color="auto"/>
        <w:bottom w:val="none" w:sz="0" w:space="0" w:color="auto"/>
        <w:right w:val="none" w:sz="0" w:space="0" w:color="auto"/>
      </w:divBdr>
    </w:div>
    <w:div w:id="377047861">
      <w:bodyDiv w:val="1"/>
      <w:marLeft w:val="0"/>
      <w:marRight w:val="0"/>
      <w:marTop w:val="0"/>
      <w:marBottom w:val="0"/>
      <w:divBdr>
        <w:top w:val="none" w:sz="0" w:space="0" w:color="auto"/>
        <w:left w:val="none" w:sz="0" w:space="0" w:color="auto"/>
        <w:bottom w:val="none" w:sz="0" w:space="0" w:color="auto"/>
        <w:right w:val="none" w:sz="0" w:space="0" w:color="auto"/>
      </w:divBdr>
    </w:div>
    <w:div w:id="384791657">
      <w:bodyDiv w:val="1"/>
      <w:marLeft w:val="0"/>
      <w:marRight w:val="0"/>
      <w:marTop w:val="0"/>
      <w:marBottom w:val="0"/>
      <w:divBdr>
        <w:top w:val="none" w:sz="0" w:space="0" w:color="auto"/>
        <w:left w:val="none" w:sz="0" w:space="0" w:color="auto"/>
        <w:bottom w:val="none" w:sz="0" w:space="0" w:color="auto"/>
        <w:right w:val="none" w:sz="0" w:space="0" w:color="auto"/>
      </w:divBdr>
    </w:div>
    <w:div w:id="388699108">
      <w:bodyDiv w:val="1"/>
      <w:marLeft w:val="0"/>
      <w:marRight w:val="0"/>
      <w:marTop w:val="0"/>
      <w:marBottom w:val="0"/>
      <w:divBdr>
        <w:top w:val="none" w:sz="0" w:space="0" w:color="auto"/>
        <w:left w:val="none" w:sz="0" w:space="0" w:color="auto"/>
        <w:bottom w:val="none" w:sz="0" w:space="0" w:color="auto"/>
        <w:right w:val="none" w:sz="0" w:space="0" w:color="auto"/>
      </w:divBdr>
    </w:div>
    <w:div w:id="390737034">
      <w:bodyDiv w:val="1"/>
      <w:marLeft w:val="0"/>
      <w:marRight w:val="0"/>
      <w:marTop w:val="0"/>
      <w:marBottom w:val="0"/>
      <w:divBdr>
        <w:top w:val="none" w:sz="0" w:space="0" w:color="auto"/>
        <w:left w:val="none" w:sz="0" w:space="0" w:color="auto"/>
        <w:bottom w:val="none" w:sz="0" w:space="0" w:color="auto"/>
        <w:right w:val="none" w:sz="0" w:space="0" w:color="auto"/>
      </w:divBdr>
    </w:div>
    <w:div w:id="391393773">
      <w:bodyDiv w:val="1"/>
      <w:marLeft w:val="0"/>
      <w:marRight w:val="0"/>
      <w:marTop w:val="0"/>
      <w:marBottom w:val="0"/>
      <w:divBdr>
        <w:top w:val="none" w:sz="0" w:space="0" w:color="auto"/>
        <w:left w:val="none" w:sz="0" w:space="0" w:color="auto"/>
        <w:bottom w:val="none" w:sz="0" w:space="0" w:color="auto"/>
        <w:right w:val="none" w:sz="0" w:space="0" w:color="auto"/>
      </w:divBdr>
    </w:div>
    <w:div w:id="392627312">
      <w:bodyDiv w:val="1"/>
      <w:marLeft w:val="0"/>
      <w:marRight w:val="0"/>
      <w:marTop w:val="0"/>
      <w:marBottom w:val="0"/>
      <w:divBdr>
        <w:top w:val="none" w:sz="0" w:space="0" w:color="auto"/>
        <w:left w:val="none" w:sz="0" w:space="0" w:color="auto"/>
        <w:bottom w:val="none" w:sz="0" w:space="0" w:color="auto"/>
        <w:right w:val="none" w:sz="0" w:space="0" w:color="auto"/>
      </w:divBdr>
    </w:div>
    <w:div w:id="404034345">
      <w:bodyDiv w:val="1"/>
      <w:marLeft w:val="0"/>
      <w:marRight w:val="0"/>
      <w:marTop w:val="0"/>
      <w:marBottom w:val="0"/>
      <w:divBdr>
        <w:top w:val="none" w:sz="0" w:space="0" w:color="auto"/>
        <w:left w:val="none" w:sz="0" w:space="0" w:color="auto"/>
        <w:bottom w:val="none" w:sz="0" w:space="0" w:color="auto"/>
        <w:right w:val="none" w:sz="0" w:space="0" w:color="auto"/>
      </w:divBdr>
    </w:div>
    <w:div w:id="407192565">
      <w:bodyDiv w:val="1"/>
      <w:marLeft w:val="0"/>
      <w:marRight w:val="0"/>
      <w:marTop w:val="0"/>
      <w:marBottom w:val="0"/>
      <w:divBdr>
        <w:top w:val="none" w:sz="0" w:space="0" w:color="auto"/>
        <w:left w:val="none" w:sz="0" w:space="0" w:color="auto"/>
        <w:bottom w:val="none" w:sz="0" w:space="0" w:color="auto"/>
        <w:right w:val="none" w:sz="0" w:space="0" w:color="auto"/>
      </w:divBdr>
    </w:div>
    <w:div w:id="410662399">
      <w:bodyDiv w:val="1"/>
      <w:marLeft w:val="0"/>
      <w:marRight w:val="0"/>
      <w:marTop w:val="0"/>
      <w:marBottom w:val="0"/>
      <w:divBdr>
        <w:top w:val="none" w:sz="0" w:space="0" w:color="auto"/>
        <w:left w:val="none" w:sz="0" w:space="0" w:color="auto"/>
        <w:bottom w:val="none" w:sz="0" w:space="0" w:color="auto"/>
        <w:right w:val="none" w:sz="0" w:space="0" w:color="auto"/>
      </w:divBdr>
    </w:div>
    <w:div w:id="415367308">
      <w:bodyDiv w:val="1"/>
      <w:marLeft w:val="0"/>
      <w:marRight w:val="0"/>
      <w:marTop w:val="0"/>
      <w:marBottom w:val="0"/>
      <w:divBdr>
        <w:top w:val="none" w:sz="0" w:space="0" w:color="auto"/>
        <w:left w:val="none" w:sz="0" w:space="0" w:color="auto"/>
        <w:bottom w:val="none" w:sz="0" w:space="0" w:color="auto"/>
        <w:right w:val="none" w:sz="0" w:space="0" w:color="auto"/>
      </w:divBdr>
    </w:div>
    <w:div w:id="421797246">
      <w:bodyDiv w:val="1"/>
      <w:marLeft w:val="0"/>
      <w:marRight w:val="0"/>
      <w:marTop w:val="0"/>
      <w:marBottom w:val="0"/>
      <w:divBdr>
        <w:top w:val="none" w:sz="0" w:space="0" w:color="auto"/>
        <w:left w:val="none" w:sz="0" w:space="0" w:color="auto"/>
        <w:bottom w:val="none" w:sz="0" w:space="0" w:color="auto"/>
        <w:right w:val="none" w:sz="0" w:space="0" w:color="auto"/>
      </w:divBdr>
    </w:div>
    <w:div w:id="423648736">
      <w:bodyDiv w:val="1"/>
      <w:marLeft w:val="0"/>
      <w:marRight w:val="0"/>
      <w:marTop w:val="0"/>
      <w:marBottom w:val="0"/>
      <w:divBdr>
        <w:top w:val="none" w:sz="0" w:space="0" w:color="auto"/>
        <w:left w:val="none" w:sz="0" w:space="0" w:color="auto"/>
        <w:bottom w:val="none" w:sz="0" w:space="0" w:color="auto"/>
        <w:right w:val="none" w:sz="0" w:space="0" w:color="auto"/>
      </w:divBdr>
    </w:div>
    <w:div w:id="429545038">
      <w:bodyDiv w:val="1"/>
      <w:marLeft w:val="0"/>
      <w:marRight w:val="0"/>
      <w:marTop w:val="0"/>
      <w:marBottom w:val="0"/>
      <w:divBdr>
        <w:top w:val="none" w:sz="0" w:space="0" w:color="auto"/>
        <w:left w:val="none" w:sz="0" w:space="0" w:color="auto"/>
        <w:bottom w:val="none" w:sz="0" w:space="0" w:color="auto"/>
        <w:right w:val="none" w:sz="0" w:space="0" w:color="auto"/>
      </w:divBdr>
    </w:div>
    <w:div w:id="433286189">
      <w:bodyDiv w:val="1"/>
      <w:marLeft w:val="0"/>
      <w:marRight w:val="0"/>
      <w:marTop w:val="0"/>
      <w:marBottom w:val="0"/>
      <w:divBdr>
        <w:top w:val="none" w:sz="0" w:space="0" w:color="auto"/>
        <w:left w:val="none" w:sz="0" w:space="0" w:color="auto"/>
        <w:bottom w:val="none" w:sz="0" w:space="0" w:color="auto"/>
        <w:right w:val="none" w:sz="0" w:space="0" w:color="auto"/>
      </w:divBdr>
    </w:div>
    <w:div w:id="436603627">
      <w:bodyDiv w:val="1"/>
      <w:marLeft w:val="0"/>
      <w:marRight w:val="0"/>
      <w:marTop w:val="0"/>
      <w:marBottom w:val="0"/>
      <w:divBdr>
        <w:top w:val="none" w:sz="0" w:space="0" w:color="auto"/>
        <w:left w:val="none" w:sz="0" w:space="0" w:color="auto"/>
        <w:bottom w:val="none" w:sz="0" w:space="0" w:color="auto"/>
        <w:right w:val="none" w:sz="0" w:space="0" w:color="auto"/>
      </w:divBdr>
    </w:div>
    <w:div w:id="438525192">
      <w:bodyDiv w:val="1"/>
      <w:marLeft w:val="0"/>
      <w:marRight w:val="0"/>
      <w:marTop w:val="0"/>
      <w:marBottom w:val="0"/>
      <w:divBdr>
        <w:top w:val="none" w:sz="0" w:space="0" w:color="auto"/>
        <w:left w:val="none" w:sz="0" w:space="0" w:color="auto"/>
        <w:bottom w:val="none" w:sz="0" w:space="0" w:color="auto"/>
        <w:right w:val="none" w:sz="0" w:space="0" w:color="auto"/>
      </w:divBdr>
    </w:div>
    <w:div w:id="442069019">
      <w:bodyDiv w:val="1"/>
      <w:marLeft w:val="0"/>
      <w:marRight w:val="0"/>
      <w:marTop w:val="0"/>
      <w:marBottom w:val="0"/>
      <w:divBdr>
        <w:top w:val="none" w:sz="0" w:space="0" w:color="auto"/>
        <w:left w:val="none" w:sz="0" w:space="0" w:color="auto"/>
        <w:bottom w:val="none" w:sz="0" w:space="0" w:color="auto"/>
        <w:right w:val="none" w:sz="0" w:space="0" w:color="auto"/>
      </w:divBdr>
    </w:div>
    <w:div w:id="448428657">
      <w:bodyDiv w:val="1"/>
      <w:marLeft w:val="0"/>
      <w:marRight w:val="0"/>
      <w:marTop w:val="0"/>
      <w:marBottom w:val="0"/>
      <w:divBdr>
        <w:top w:val="none" w:sz="0" w:space="0" w:color="auto"/>
        <w:left w:val="none" w:sz="0" w:space="0" w:color="auto"/>
        <w:bottom w:val="none" w:sz="0" w:space="0" w:color="auto"/>
        <w:right w:val="none" w:sz="0" w:space="0" w:color="auto"/>
      </w:divBdr>
    </w:div>
    <w:div w:id="458693515">
      <w:bodyDiv w:val="1"/>
      <w:marLeft w:val="0"/>
      <w:marRight w:val="0"/>
      <w:marTop w:val="0"/>
      <w:marBottom w:val="0"/>
      <w:divBdr>
        <w:top w:val="none" w:sz="0" w:space="0" w:color="auto"/>
        <w:left w:val="none" w:sz="0" w:space="0" w:color="auto"/>
        <w:bottom w:val="none" w:sz="0" w:space="0" w:color="auto"/>
        <w:right w:val="none" w:sz="0" w:space="0" w:color="auto"/>
      </w:divBdr>
    </w:div>
    <w:div w:id="489373226">
      <w:bodyDiv w:val="1"/>
      <w:marLeft w:val="0"/>
      <w:marRight w:val="0"/>
      <w:marTop w:val="0"/>
      <w:marBottom w:val="0"/>
      <w:divBdr>
        <w:top w:val="none" w:sz="0" w:space="0" w:color="auto"/>
        <w:left w:val="none" w:sz="0" w:space="0" w:color="auto"/>
        <w:bottom w:val="none" w:sz="0" w:space="0" w:color="auto"/>
        <w:right w:val="none" w:sz="0" w:space="0" w:color="auto"/>
      </w:divBdr>
    </w:div>
    <w:div w:id="507788101">
      <w:bodyDiv w:val="1"/>
      <w:marLeft w:val="0"/>
      <w:marRight w:val="0"/>
      <w:marTop w:val="0"/>
      <w:marBottom w:val="0"/>
      <w:divBdr>
        <w:top w:val="none" w:sz="0" w:space="0" w:color="auto"/>
        <w:left w:val="none" w:sz="0" w:space="0" w:color="auto"/>
        <w:bottom w:val="none" w:sz="0" w:space="0" w:color="auto"/>
        <w:right w:val="none" w:sz="0" w:space="0" w:color="auto"/>
      </w:divBdr>
    </w:div>
    <w:div w:id="512305430">
      <w:bodyDiv w:val="1"/>
      <w:marLeft w:val="0"/>
      <w:marRight w:val="0"/>
      <w:marTop w:val="0"/>
      <w:marBottom w:val="0"/>
      <w:divBdr>
        <w:top w:val="none" w:sz="0" w:space="0" w:color="auto"/>
        <w:left w:val="none" w:sz="0" w:space="0" w:color="auto"/>
        <w:bottom w:val="none" w:sz="0" w:space="0" w:color="auto"/>
        <w:right w:val="none" w:sz="0" w:space="0" w:color="auto"/>
      </w:divBdr>
    </w:div>
    <w:div w:id="513426514">
      <w:bodyDiv w:val="1"/>
      <w:marLeft w:val="0"/>
      <w:marRight w:val="0"/>
      <w:marTop w:val="0"/>
      <w:marBottom w:val="0"/>
      <w:divBdr>
        <w:top w:val="none" w:sz="0" w:space="0" w:color="auto"/>
        <w:left w:val="none" w:sz="0" w:space="0" w:color="auto"/>
        <w:bottom w:val="none" w:sz="0" w:space="0" w:color="auto"/>
        <w:right w:val="none" w:sz="0" w:space="0" w:color="auto"/>
      </w:divBdr>
    </w:div>
    <w:div w:id="519440432">
      <w:bodyDiv w:val="1"/>
      <w:marLeft w:val="0"/>
      <w:marRight w:val="0"/>
      <w:marTop w:val="0"/>
      <w:marBottom w:val="0"/>
      <w:divBdr>
        <w:top w:val="none" w:sz="0" w:space="0" w:color="auto"/>
        <w:left w:val="none" w:sz="0" w:space="0" w:color="auto"/>
        <w:bottom w:val="none" w:sz="0" w:space="0" w:color="auto"/>
        <w:right w:val="none" w:sz="0" w:space="0" w:color="auto"/>
      </w:divBdr>
    </w:div>
    <w:div w:id="537275141">
      <w:bodyDiv w:val="1"/>
      <w:marLeft w:val="0"/>
      <w:marRight w:val="0"/>
      <w:marTop w:val="0"/>
      <w:marBottom w:val="0"/>
      <w:divBdr>
        <w:top w:val="none" w:sz="0" w:space="0" w:color="auto"/>
        <w:left w:val="none" w:sz="0" w:space="0" w:color="auto"/>
        <w:bottom w:val="none" w:sz="0" w:space="0" w:color="auto"/>
        <w:right w:val="none" w:sz="0" w:space="0" w:color="auto"/>
      </w:divBdr>
    </w:div>
    <w:div w:id="539319923">
      <w:bodyDiv w:val="1"/>
      <w:marLeft w:val="0"/>
      <w:marRight w:val="0"/>
      <w:marTop w:val="0"/>
      <w:marBottom w:val="0"/>
      <w:divBdr>
        <w:top w:val="none" w:sz="0" w:space="0" w:color="auto"/>
        <w:left w:val="none" w:sz="0" w:space="0" w:color="auto"/>
        <w:bottom w:val="none" w:sz="0" w:space="0" w:color="auto"/>
        <w:right w:val="none" w:sz="0" w:space="0" w:color="auto"/>
      </w:divBdr>
    </w:div>
    <w:div w:id="547569549">
      <w:bodyDiv w:val="1"/>
      <w:marLeft w:val="0"/>
      <w:marRight w:val="0"/>
      <w:marTop w:val="0"/>
      <w:marBottom w:val="0"/>
      <w:divBdr>
        <w:top w:val="none" w:sz="0" w:space="0" w:color="auto"/>
        <w:left w:val="none" w:sz="0" w:space="0" w:color="auto"/>
        <w:bottom w:val="none" w:sz="0" w:space="0" w:color="auto"/>
        <w:right w:val="none" w:sz="0" w:space="0" w:color="auto"/>
      </w:divBdr>
    </w:div>
    <w:div w:id="551386923">
      <w:bodyDiv w:val="1"/>
      <w:marLeft w:val="0"/>
      <w:marRight w:val="0"/>
      <w:marTop w:val="0"/>
      <w:marBottom w:val="0"/>
      <w:divBdr>
        <w:top w:val="none" w:sz="0" w:space="0" w:color="auto"/>
        <w:left w:val="none" w:sz="0" w:space="0" w:color="auto"/>
        <w:bottom w:val="none" w:sz="0" w:space="0" w:color="auto"/>
        <w:right w:val="none" w:sz="0" w:space="0" w:color="auto"/>
      </w:divBdr>
    </w:div>
    <w:div w:id="560364797">
      <w:bodyDiv w:val="1"/>
      <w:marLeft w:val="0"/>
      <w:marRight w:val="0"/>
      <w:marTop w:val="0"/>
      <w:marBottom w:val="0"/>
      <w:divBdr>
        <w:top w:val="none" w:sz="0" w:space="0" w:color="auto"/>
        <w:left w:val="none" w:sz="0" w:space="0" w:color="auto"/>
        <w:bottom w:val="none" w:sz="0" w:space="0" w:color="auto"/>
        <w:right w:val="none" w:sz="0" w:space="0" w:color="auto"/>
      </w:divBdr>
    </w:div>
    <w:div w:id="564755729">
      <w:bodyDiv w:val="1"/>
      <w:marLeft w:val="0"/>
      <w:marRight w:val="0"/>
      <w:marTop w:val="0"/>
      <w:marBottom w:val="0"/>
      <w:divBdr>
        <w:top w:val="none" w:sz="0" w:space="0" w:color="auto"/>
        <w:left w:val="none" w:sz="0" w:space="0" w:color="auto"/>
        <w:bottom w:val="none" w:sz="0" w:space="0" w:color="auto"/>
        <w:right w:val="none" w:sz="0" w:space="0" w:color="auto"/>
      </w:divBdr>
    </w:div>
    <w:div w:id="573390417">
      <w:bodyDiv w:val="1"/>
      <w:marLeft w:val="0"/>
      <w:marRight w:val="0"/>
      <w:marTop w:val="0"/>
      <w:marBottom w:val="0"/>
      <w:divBdr>
        <w:top w:val="none" w:sz="0" w:space="0" w:color="auto"/>
        <w:left w:val="none" w:sz="0" w:space="0" w:color="auto"/>
        <w:bottom w:val="none" w:sz="0" w:space="0" w:color="auto"/>
        <w:right w:val="none" w:sz="0" w:space="0" w:color="auto"/>
      </w:divBdr>
    </w:div>
    <w:div w:id="587350440">
      <w:bodyDiv w:val="1"/>
      <w:marLeft w:val="0"/>
      <w:marRight w:val="0"/>
      <w:marTop w:val="0"/>
      <w:marBottom w:val="0"/>
      <w:divBdr>
        <w:top w:val="none" w:sz="0" w:space="0" w:color="auto"/>
        <w:left w:val="none" w:sz="0" w:space="0" w:color="auto"/>
        <w:bottom w:val="none" w:sz="0" w:space="0" w:color="auto"/>
        <w:right w:val="none" w:sz="0" w:space="0" w:color="auto"/>
      </w:divBdr>
    </w:div>
    <w:div w:id="598760152">
      <w:bodyDiv w:val="1"/>
      <w:marLeft w:val="0"/>
      <w:marRight w:val="0"/>
      <w:marTop w:val="0"/>
      <w:marBottom w:val="0"/>
      <w:divBdr>
        <w:top w:val="none" w:sz="0" w:space="0" w:color="auto"/>
        <w:left w:val="none" w:sz="0" w:space="0" w:color="auto"/>
        <w:bottom w:val="none" w:sz="0" w:space="0" w:color="auto"/>
        <w:right w:val="none" w:sz="0" w:space="0" w:color="auto"/>
      </w:divBdr>
    </w:div>
    <w:div w:id="598803585">
      <w:bodyDiv w:val="1"/>
      <w:marLeft w:val="0"/>
      <w:marRight w:val="0"/>
      <w:marTop w:val="0"/>
      <w:marBottom w:val="0"/>
      <w:divBdr>
        <w:top w:val="none" w:sz="0" w:space="0" w:color="auto"/>
        <w:left w:val="none" w:sz="0" w:space="0" w:color="auto"/>
        <w:bottom w:val="none" w:sz="0" w:space="0" w:color="auto"/>
        <w:right w:val="none" w:sz="0" w:space="0" w:color="auto"/>
      </w:divBdr>
    </w:div>
    <w:div w:id="601957412">
      <w:bodyDiv w:val="1"/>
      <w:marLeft w:val="0"/>
      <w:marRight w:val="0"/>
      <w:marTop w:val="0"/>
      <w:marBottom w:val="0"/>
      <w:divBdr>
        <w:top w:val="none" w:sz="0" w:space="0" w:color="auto"/>
        <w:left w:val="none" w:sz="0" w:space="0" w:color="auto"/>
        <w:bottom w:val="none" w:sz="0" w:space="0" w:color="auto"/>
        <w:right w:val="none" w:sz="0" w:space="0" w:color="auto"/>
      </w:divBdr>
    </w:div>
    <w:div w:id="620574796">
      <w:bodyDiv w:val="1"/>
      <w:marLeft w:val="0"/>
      <w:marRight w:val="0"/>
      <w:marTop w:val="0"/>
      <w:marBottom w:val="0"/>
      <w:divBdr>
        <w:top w:val="none" w:sz="0" w:space="0" w:color="auto"/>
        <w:left w:val="none" w:sz="0" w:space="0" w:color="auto"/>
        <w:bottom w:val="none" w:sz="0" w:space="0" w:color="auto"/>
        <w:right w:val="none" w:sz="0" w:space="0" w:color="auto"/>
      </w:divBdr>
    </w:div>
    <w:div w:id="624314224">
      <w:bodyDiv w:val="1"/>
      <w:marLeft w:val="0"/>
      <w:marRight w:val="0"/>
      <w:marTop w:val="0"/>
      <w:marBottom w:val="0"/>
      <w:divBdr>
        <w:top w:val="none" w:sz="0" w:space="0" w:color="auto"/>
        <w:left w:val="none" w:sz="0" w:space="0" w:color="auto"/>
        <w:bottom w:val="none" w:sz="0" w:space="0" w:color="auto"/>
        <w:right w:val="none" w:sz="0" w:space="0" w:color="auto"/>
      </w:divBdr>
    </w:div>
    <w:div w:id="625308509">
      <w:bodyDiv w:val="1"/>
      <w:marLeft w:val="0"/>
      <w:marRight w:val="0"/>
      <w:marTop w:val="0"/>
      <w:marBottom w:val="0"/>
      <w:divBdr>
        <w:top w:val="none" w:sz="0" w:space="0" w:color="auto"/>
        <w:left w:val="none" w:sz="0" w:space="0" w:color="auto"/>
        <w:bottom w:val="none" w:sz="0" w:space="0" w:color="auto"/>
        <w:right w:val="none" w:sz="0" w:space="0" w:color="auto"/>
      </w:divBdr>
    </w:div>
    <w:div w:id="628819735">
      <w:bodyDiv w:val="1"/>
      <w:marLeft w:val="0"/>
      <w:marRight w:val="0"/>
      <w:marTop w:val="0"/>
      <w:marBottom w:val="0"/>
      <w:divBdr>
        <w:top w:val="none" w:sz="0" w:space="0" w:color="auto"/>
        <w:left w:val="none" w:sz="0" w:space="0" w:color="auto"/>
        <w:bottom w:val="none" w:sz="0" w:space="0" w:color="auto"/>
        <w:right w:val="none" w:sz="0" w:space="0" w:color="auto"/>
      </w:divBdr>
    </w:div>
    <w:div w:id="629170843">
      <w:bodyDiv w:val="1"/>
      <w:marLeft w:val="0"/>
      <w:marRight w:val="0"/>
      <w:marTop w:val="0"/>
      <w:marBottom w:val="0"/>
      <w:divBdr>
        <w:top w:val="none" w:sz="0" w:space="0" w:color="auto"/>
        <w:left w:val="none" w:sz="0" w:space="0" w:color="auto"/>
        <w:bottom w:val="none" w:sz="0" w:space="0" w:color="auto"/>
        <w:right w:val="none" w:sz="0" w:space="0" w:color="auto"/>
      </w:divBdr>
    </w:div>
    <w:div w:id="651524208">
      <w:bodyDiv w:val="1"/>
      <w:marLeft w:val="0"/>
      <w:marRight w:val="0"/>
      <w:marTop w:val="0"/>
      <w:marBottom w:val="0"/>
      <w:divBdr>
        <w:top w:val="none" w:sz="0" w:space="0" w:color="auto"/>
        <w:left w:val="none" w:sz="0" w:space="0" w:color="auto"/>
        <w:bottom w:val="none" w:sz="0" w:space="0" w:color="auto"/>
        <w:right w:val="none" w:sz="0" w:space="0" w:color="auto"/>
      </w:divBdr>
    </w:div>
    <w:div w:id="651636098">
      <w:bodyDiv w:val="1"/>
      <w:marLeft w:val="0"/>
      <w:marRight w:val="0"/>
      <w:marTop w:val="0"/>
      <w:marBottom w:val="0"/>
      <w:divBdr>
        <w:top w:val="none" w:sz="0" w:space="0" w:color="auto"/>
        <w:left w:val="none" w:sz="0" w:space="0" w:color="auto"/>
        <w:bottom w:val="none" w:sz="0" w:space="0" w:color="auto"/>
        <w:right w:val="none" w:sz="0" w:space="0" w:color="auto"/>
      </w:divBdr>
    </w:div>
    <w:div w:id="654383197">
      <w:bodyDiv w:val="1"/>
      <w:marLeft w:val="0"/>
      <w:marRight w:val="0"/>
      <w:marTop w:val="0"/>
      <w:marBottom w:val="0"/>
      <w:divBdr>
        <w:top w:val="none" w:sz="0" w:space="0" w:color="auto"/>
        <w:left w:val="none" w:sz="0" w:space="0" w:color="auto"/>
        <w:bottom w:val="none" w:sz="0" w:space="0" w:color="auto"/>
        <w:right w:val="none" w:sz="0" w:space="0" w:color="auto"/>
      </w:divBdr>
    </w:div>
    <w:div w:id="658122109">
      <w:bodyDiv w:val="1"/>
      <w:marLeft w:val="0"/>
      <w:marRight w:val="0"/>
      <w:marTop w:val="0"/>
      <w:marBottom w:val="0"/>
      <w:divBdr>
        <w:top w:val="none" w:sz="0" w:space="0" w:color="auto"/>
        <w:left w:val="none" w:sz="0" w:space="0" w:color="auto"/>
        <w:bottom w:val="none" w:sz="0" w:space="0" w:color="auto"/>
        <w:right w:val="none" w:sz="0" w:space="0" w:color="auto"/>
      </w:divBdr>
    </w:div>
    <w:div w:id="659237645">
      <w:bodyDiv w:val="1"/>
      <w:marLeft w:val="0"/>
      <w:marRight w:val="0"/>
      <w:marTop w:val="0"/>
      <w:marBottom w:val="0"/>
      <w:divBdr>
        <w:top w:val="none" w:sz="0" w:space="0" w:color="auto"/>
        <w:left w:val="none" w:sz="0" w:space="0" w:color="auto"/>
        <w:bottom w:val="none" w:sz="0" w:space="0" w:color="auto"/>
        <w:right w:val="none" w:sz="0" w:space="0" w:color="auto"/>
      </w:divBdr>
    </w:div>
    <w:div w:id="663094547">
      <w:bodyDiv w:val="1"/>
      <w:marLeft w:val="0"/>
      <w:marRight w:val="0"/>
      <w:marTop w:val="0"/>
      <w:marBottom w:val="0"/>
      <w:divBdr>
        <w:top w:val="none" w:sz="0" w:space="0" w:color="auto"/>
        <w:left w:val="none" w:sz="0" w:space="0" w:color="auto"/>
        <w:bottom w:val="none" w:sz="0" w:space="0" w:color="auto"/>
        <w:right w:val="none" w:sz="0" w:space="0" w:color="auto"/>
      </w:divBdr>
    </w:div>
    <w:div w:id="664239246">
      <w:bodyDiv w:val="1"/>
      <w:marLeft w:val="0"/>
      <w:marRight w:val="0"/>
      <w:marTop w:val="0"/>
      <w:marBottom w:val="0"/>
      <w:divBdr>
        <w:top w:val="none" w:sz="0" w:space="0" w:color="auto"/>
        <w:left w:val="none" w:sz="0" w:space="0" w:color="auto"/>
        <w:bottom w:val="none" w:sz="0" w:space="0" w:color="auto"/>
        <w:right w:val="none" w:sz="0" w:space="0" w:color="auto"/>
      </w:divBdr>
    </w:div>
    <w:div w:id="672488675">
      <w:bodyDiv w:val="1"/>
      <w:marLeft w:val="0"/>
      <w:marRight w:val="0"/>
      <w:marTop w:val="0"/>
      <w:marBottom w:val="0"/>
      <w:divBdr>
        <w:top w:val="none" w:sz="0" w:space="0" w:color="auto"/>
        <w:left w:val="none" w:sz="0" w:space="0" w:color="auto"/>
        <w:bottom w:val="none" w:sz="0" w:space="0" w:color="auto"/>
        <w:right w:val="none" w:sz="0" w:space="0" w:color="auto"/>
      </w:divBdr>
    </w:div>
    <w:div w:id="701369049">
      <w:bodyDiv w:val="1"/>
      <w:marLeft w:val="0"/>
      <w:marRight w:val="0"/>
      <w:marTop w:val="0"/>
      <w:marBottom w:val="0"/>
      <w:divBdr>
        <w:top w:val="none" w:sz="0" w:space="0" w:color="auto"/>
        <w:left w:val="none" w:sz="0" w:space="0" w:color="auto"/>
        <w:bottom w:val="none" w:sz="0" w:space="0" w:color="auto"/>
        <w:right w:val="none" w:sz="0" w:space="0" w:color="auto"/>
      </w:divBdr>
    </w:div>
    <w:div w:id="712510208">
      <w:bodyDiv w:val="1"/>
      <w:marLeft w:val="0"/>
      <w:marRight w:val="0"/>
      <w:marTop w:val="0"/>
      <w:marBottom w:val="0"/>
      <w:divBdr>
        <w:top w:val="none" w:sz="0" w:space="0" w:color="auto"/>
        <w:left w:val="none" w:sz="0" w:space="0" w:color="auto"/>
        <w:bottom w:val="none" w:sz="0" w:space="0" w:color="auto"/>
        <w:right w:val="none" w:sz="0" w:space="0" w:color="auto"/>
      </w:divBdr>
    </w:div>
    <w:div w:id="719093047">
      <w:bodyDiv w:val="1"/>
      <w:marLeft w:val="0"/>
      <w:marRight w:val="0"/>
      <w:marTop w:val="0"/>
      <w:marBottom w:val="0"/>
      <w:divBdr>
        <w:top w:val="none" w:sz="0" w:space="0" w:color="auto"/>
        <w:left w:val="none" w:sz="0" w:space="0" w:color="auto"/>
        <w:bottom w:val="none" w:sz="0" w:space="0" w:color="auto"/>
        <w:right w:val="none" w:sz="0" w:space="0" w:color="auto"/>
      </w:divBdr>
    </w:div>
    <w:div w:id="721095283">
      <w:bodyDiv w:val="1"/>
      <w:marLeft w:val="0"/>
      <w:marRight w:val="0"/>
      <w:marTop w:val="0"/>
      <w:marBottom w:val="0"/>
      <w:divBdr>
        <w:top w:val="none" w:sz="0" w:space="0" w:color="auto"/>
        <w:left w:val="none" w:sz="0" w:space="0" w:color="auto"/>
        <w:bottom w:val="none" w:sz="0" w:space="0" w:color="auto"/>
        <w:right w:val="none" w:sz="0" w:space="0" w:color="auto"/>
      </w:divBdr>
    </w:div>
    <w:div w:id="736317046">
      <w:bodyDiv w:val="1"/>
      <w:marLeft w:val="0"/>
      <w:marRight w:val="0"/>
      <w:marTop w:val="0"/>
      <w:marBottom w:val="0"/>
      <w:divBdr>
        <w:top w:val="none" w:sz="0" w:space="0" w:color="auto"/>
        <w:left w:val="none" w:sz="0" w:space="0" w:color="auto"/>
        <w:bottom w:val="none" w:sz="0" w:space="0" w:color="auto"/>
        <w:right w:val="none" w:sz="0" w:space="0" w:color="auto"/>
      </w:divBdr>
    </w:div>
    <w:div w:id="745301053">
      <w:bodyDiv w:val="1"/>
      <w:marLeft w:val="0"/>
      <w:marRight w:val="0"/>
      <w:marTop w:val="0"/>
      <w:marBottom w:val="0"/>
      <w:divBdr>
        <w:top w:val="none" w:sz="0" w:space="0" w:color="auto"/>
        <w:left w:val="none" w:sz="0" w:space="0" w:color="auto"/>
        <w:bottom w:val="none" w:sz="0" w:space="0" w:color="auto"/>
        <w:right w:val="none" w:sz="0" w:space="0" w:color="auto"/>
      </w:divBdr>
    </w:div>
    <w:div w:id="745882456">
      <w:bodyDiv w:val="1"/>
      <w:marLeft w:val="0"/>
      <w:marRight w:val="0"/>
      <w:marTop w:val="0"/>
      <w:marBottom w:val="0"/>
      <w:divBdr>
        <w:top w:val="none" w:sz="0" w:space="0" w:color="auto"/>
        <w:left w:val="none" w:sz="0" w:space="0" w:color="auto"/>
        <w:bottom w:val="none" w:sz="0" w:space="0" w:color="auto"/>
        <w:right w:val="none" w:sz="0" w:space="0" w:color="auto"/>
      </w:divBdr>
    </w:div>
    <w:div w:id="757873802">
      <w:bodyDiv w:val="1"/>
      <w:marLeft w:val="0"/>
      <w:marRight w:val="0"/>
      <w:marTop w:val="0"/>
      <w:marBottom w:val="0"/>
      <w:divBdr>
        <w:top w:val="none" w:sz="0" w:space="0" w:color="auto"/>
        <w:left w:val="none" w:sz="0" w:space="0" w:color="auto"/>
        <w:bottom w:val="none" w:sz="0" w:space="0" w:color="auto"/>
        <w:right w:val="none" w:sz="0" w:space="0" w:color="auto"/>
      </w:divBdr>
    </w:div>
    <w:div w:id="765154544">
      <w:bodyDiv w:val="1"/>
      <w:marLeft w:val="0"/>
      <w:marRight w:val="0"/>
      <w:marTop w:val="0"/>
      <w:marBottom w:val="0"/>
      <w:divBdr>
        <w:top w:val="none" w:sz="0" w:space="0" w:color="auto"/>
        <w:left w:val="none" w:sz="0" w:space="0" w:color="auto"/>
        <w:bottom w:val="none" w:sz="0" w:space="0" w:color="auto"/>
        <w:right w:val="none" w:sz="0" w:space="0" w:color="auto"/>
      </w:divBdr>
    </w:div>
    <w:div w:id="765732222">
      <w:bodyDiv w:val="1"/>
      <w:marLeft w:val="0"/>
      <w:marRight w:val="0"/>
      <w:marTop w:val="0"/>
      <w:marBottom w:val="0"/>
      <w:divBdr>
        <w:top w:val="none" w:sz="0" w:space="0" w:color="auto"/>
        <w:left w:val="none" w:sz="0" w:space="0" w:color="auto"/>
        <w:bottom w:val="none" w:sz="0" w:space="0" w:color="auto"/>
        <w:right w:val="none" w:sz="0" w:space="0" w:color="auto"/>
      </w:divBdr>
    </w:div>
    <w:div w:id="765732686">
      <w:bodyDiv w:val="1"/>
      <w:marLeft w:val="0"/>
      <w:marRight w:val="0"/>
      <w:marTop w:val="0"/>
      <w:marBottom w:val="0"/>
      <w:divBdr>
        <w:top w:val="none" w:sz="0" w:space="0" w:color="auto"/>
        <w:left w:val="none" w:sz="0" w:space="0" w:color="auto"/>
        <w:bottom w:val="none" w:sz="0" w:space="0" w:color="auto"/>
        <w:right w:val="none" w:sz="0" w:space="0" w:color="auto"/>
      </w:divBdr>
    </w:div>
    <w:div w:id="796068821">
      <w:bodyDiv w:val="1"/>
      <w:marLeft w:val="0"/>
      <w:marRight w:val="0"/>
      <w:marTop w:val="0"/>
      <w:marBottom w:val="0"/>
      <w:divBdr>
        <w:top w:val="none" w:sz="0" w:space="0" w:color="auto"/>
        <w:left w:val="none" w:sz="0" w:space="0" w:color="auto"/>
        <w:bottom w:val="none" w:sz="0" w:space="0" w:color="auto"/>
        <w:right w:val="none" w:sz="0" w:space="0" w:color="auto"/>
      </w:divBdr>
    </w:div>
    <w:div w:id="796995167">
      <w:bodyDiv w:val="1"/>
      <w:marLeft w:val="0"/>
      <w:marRight w:val="0"/>
      <w:marTop w:val="0"/>
      <w:marBottom w:val="0"/>
      <w:divBdr>
        <w:top w:val="none" w:sz="0" w:space="0" w:color="auto"/>
        <w:left w:val="none" w:sz="0" w:space="0" w:color="auto"/>
        <w:bottom w:val="none" w:sz="0" w:space="0" w:color="auto"/>
        <w:right w:val="none" w:sz="0" w:space="0" w:color="auto"/>
      </w:divBdr>
    </w:div>
    <w:div w:id="822815925">
      <w:bodyDiv w:val="1"/>
      <w:marLeft w:val="0"/>
      <w:marRight w:val="0"/>
      <w:marTop w:val="0"/>
      <w:marBottom w:val="0"/>
      <w:divBdr>
        <w:top w:val="none" w:sz="0" w:space="0" w:color="auto"/>
        <w:left w:val="none" w:sz="0" w:space="0" w:color="auto"/>
        <w:bottom w:val="none" w:sz="0" w:space="0" w:color="auto"/>
        <w:right w:val="none" w:sz="0" w:space="0" w:color="auto"/>
      </w:divBdr>
    </w:div>
    <w:div w:id="825242518">
      <w:bodyDiv w:val="1"/>
      <w:marLeft w:val="0"/>
      <w:marRight w:val="0"/>
      <w:marTop w:val="0"/>
      <w:marBottom w:val="0"/>
      <w:divBdr>
        <w:top w:val="none" w:sz="0" w:space="0" w:color="auto"/>
        <w:left w:val="none" w:sz="0" w:space="0" w:color="auto"/>
        <w:bottom w:val="none" w:sz="0" w:space="0" w:color="auto"/>
        <w:right w:val="none" w:sz="0" w:space="0" w:color="auto"/>
      </w:divBdr>
    </w:div>
    <w:div w:id="831063862">
      <w:bodyDiv w:val="1"/>
      <w:marLeft w:val="0"/>
      <w:marRight w:val="0"/>
      <w:marTop w:val="0"/>
      <w:marBottom w:val="0"/>
      <w:divBdr>
        <w:top w:val="none" w:sz="0" w:space="0" w:color="auto"/>
        <w:left w:val="none" w:sz="0" w:space="0" w:color="auto"/>
        <w:bottom w:val="none" w:sz="0" w:space="0" w:color="auto"/>
        <w:right w:val="none" w:sz="0" w:space="0" w:color="auto"/>
      </w:divBdr>
    </w:div>
    <w:div w:id="847718719">
      <w:bodyDiv w:val="1"/>
      <w:marLeft w:val="0"/>
      <w:marRight w:val="0"/>
      <w:marTop w:val="0"/>
      <w:marBottom w:val="0"/>
      <w:divBdr>
        <w:top w:val="none" w:sz="0" w:space="0" w:color="auto"/>
        <w:left w:val="none" w:sz="0" w:space="0" w:color="auto"/>
        <w:bottom w:val="none" w:sz="0" w:space="0" w:color="auto"/>
        <w:right w:val="none" w:sz="0" w:space="0" w:color="auto"/>
      </w:divBdr>
    </w:div>
    <w:div w:id="851140316">
      <w:bodyDiv w:val="1"/>
      <w:marLeft w:val="0"/>
      <w:marRight w:val="0"/>
      <w:marTop w:val="0"/>
      <w:marBottom w:val="0"/>
      <w:divBdr>
        <w:top w:val="none" w:sz="0" w:space="0" w:color="auto"/>
        <w:left w:val="none" w:sz="0" w:space="0" w:color="auto"/>
        <w:bottom w:val="none" w:sz="0" w:space="0" w:color="auto"/>
        <w:right w:val="none" w:sz="0" w:space="0" w:color="auto"/>
      </w:divBdr>
    </w:div>
    <w:div w:id="859978639">
      <w:bodyDiv w:val="1"/>
      <w:marLeft w:val="0"/>
      <w:marRight w:val="0"/>
      <w:marTop w:val="0"/>
      <w:marBottom w:val="0"/>
      <w:divBdr>
        <w:top w:val="none" w:sz="0" w:space="0" w:color="auto"/>
        <w:left w:val="none" w:sz="0" w:space="0" w:color="auto"/>
        <w:bottom w:val="none" w:sz="0" w:space="0" w:color="auto"/>
        <w:right w:val="none" w:sz="0" w:space="0" w:color="auto"/>
      </w:divBdr>
    </w:div>
    <w:div w:id="862669531">
      <w:bodyDiv w:val="1"/>
      <w:marLeft w:val="0"/>
      <w:marRight w:val="0"/>
      <w:marTop w:val="0"/>
      <w:marBottom w:val="0"/>
      <w:divBdr>
        <w:top w:val="none" w:sz="0" w:space="0" w:color="auto"/>
        <w:left w:val="none" w:sz="0" w:space="0" w:color="auto"/>
        <w:bottom w:val="none" w:sz="0" w:space="0" w:color="auto"/>
        <w:right w:val="none" w:sz="0" w:space="0" w:color="auto"/>
      </w:divBdr>
    </w:div>
    <w:div w:id="869991809">
      <w:bodyDiv w:val="1"/>
      <w:marLeft w:val="0"/>
      <w:marRight w:val="0"/>
      <w:marTop w:val="0"/>
      <w:marBottom w:val="0"/>
      <w:divBdr>
        <w:top w:val="none" w:sz="0" w:space="0" w:color="auto"/>
        <w:left w:val="none" w:sz="0" w:space="0" w:color="auto"/>
        <w:bottom w:val="none" w:sz="0" w:space="0" w:color="auto"/>
        <w:right w:val="none" w:sz="0" w:space="0" w:color="auto"/>
      </w:divBdr>
    </w:div>
    <w:div w:id="878586113">
      <w:bodyDiv w:val="1"/>
      <w:marLeft w:val="0"/>
      <w:marRight w:val="0"/>
      <w:marTop w:val="0"/>
      <w:marBottom w:val="0"/>
      <w:divBdr>
        <w:top w:val="none" w:sz="0" w:space="0" w:color="auto"/>
        <w:left w:val="none" w:sz="0" w:space="0" w:color="auto"/>
        <w:bottom w:val="none" w:sz="0" w:space="0" w:color="auto"/>
        <w:right w:val="none" w:sz="0" w:space="0" w:color="auto"/>
      </w:divBdr>
    </w:div>
    <w:div w:id="879711492">
      <w:bodyDiv w:val="1"/>
      <w:marLeft w:val="0"/>
      <w:marRight w:val="0"/>
      <w:marTop w:val="0"/>
      <w:marBottom w:val="0"/>
      <w:divBdr>
        <w:top w:val="none" w:sz="0" w:space="0" w:color="auto"/>
        <w:left w:val="none" w:sz="0" w:space="0" w:color="auto"/>
        <w:bottom w:val="none" w:sz="0" w:space="0" w:color="auto"/>
        <w:right w:val="none" w:sz="0" w:space="0" w:color="auto"/>
      </w:divBdr>
    </w:div>
    <w:div w:id="895701142">
      <w:bodyDiv w:val="1"/>
      <w:marLeft w:val="0"/>
      <w:marRight w:val="0"/>
      <w:marTop w:val="0"/>
      <w:marBottom w:val="0"/>
      <w:divBdr>
        <w:top w:val="none" w:sz="0" w:space="0" w:color="auto"/>
        <w:left w:val="none" w:sz="0" w:space="0" w:color="auto"/>
        <w:bottom w:val="none" w:sz="0" w:space="0" w:color="auto"/>
        <w:right w:val="none" w:sz="0" w:space="0" w:color="auto"/>
      </w:divBdr>
    </w:div>
    <w:div w:id="898248428">
      <w:bodyDiv w:val="1"/>
      <w:marLeft w:val="0"/>
      <w:marRight w:val="0"/>
      <w:marTop w:val="0"/>
      <w:marBottom w:val="0"/>
      <w:divBdr>
        <w:top w:val="none" w:sz="0" w:space="0" w:color="auto"/>
        <w:left w:val="none" w:sz="0" w:space="0" w:color="auto"/>
        <w:bottom w:val="none" w:sz="0" w:space="0" w:color="auto"/>
        <w:right w:val="none" w:sz="0" w:space="0" w:color="auto"/>
      </w:divBdr>
    </w:div>
    <w:div w:id="960958301">
      <w:bodyDiv w:val="1"/>
      <w:marLeft w:val="0"/>
      <w:marRight w:val="0"/>
      <w:marTop w:val="0"/>
      <w:marBottom w:val="0"/>
      <w:divBdr>
        <w:top w:val="none" w:sz="0" w:space="0" w:color="auto"/>
        <w:left w:val="none" w:sz="0" w:space="0" w:color="auto"/>
        <w:bottom w:val="none" w:sz="0" w:space="0" w:color="auto"/>
        <w:right w:val="none" w:sz="0" w:space="0" w:color="auto"/>
      </w:divBdr>
    </w:div>
    <w:div w:id="962269028">
      <w:bodyDiv w:val="1"/>
      <w:marLeft w:val="0"/>
      <w:marRight w:val="0"/>
      <w:marTop w:val="0"/>
      <w:marBottom w:val="0"/>
      <w:divBdr>
        <w:top w:val="none" w:sz="0" w:space="0" w:color="auto"/>
        <w:left w:val="none" w:sz="0" w:space="0" w:color="auto"/>
        <w:bottom w:val="none" w:sz="0" w:space="0" w:color="auto"/>
        <w:right w:val="none" w:sz="0" w:space="0" w:color="auto"/>
      </w:divBdr>
    </w:div>
    <w:div w:id="967468053">
      <w:bodyDiv w:val="1"/>
      <w:marLeft w:val="0"/>
      <w:marRight w:val="0"/>
      <w:marTop w:val="0"/>
      <w:marBottom w:val="0"/>
      <w:divBdr>
        <w:top w:val="none" w:sz="0" w:space="0" w:color="auto"/>
        <w:left w:val="none" w:sz="0" w:space="0" w:color="auto"/>
        <w:bottom w:val="none" w:sz="0" w:space="0" w:color="auto"/>
        <w:right w:val="none" w:sz="0" w:space="0" w:color="auto"/>
      </w:divBdr>
    </w:div>
    <w:div w:id="979336562">
      <w:bodyDiv w:val="1"/>
      <w:marLeft w:val="0"/>
      <w:marRight w:val="0"/>
      <w:marTop w:val="0"/>
      <w:marBottom w:val="0"/>
      <w:divBdr>
        <w:top w:val="none" w:sz="0" w:space="0" w:color="auto"/>
        <w:left w:val="none" w:sz="0" w:space="0" w:color="auto"/>
        <w:bottom w:val="none" w:sz="0" w:space="0" w:color="auto"/>
        <w:right w:val="none" w:sz="0" w:space="0" w:color="auto"/>
      </w:divBdr>
    </w:div>
    <w:div w:id="987172553">
      <w:bodyDiv w:val="1"/>
      <w:marLeft w:val="0"/>
      <w:marRight w:val="0"/>
      <w:marTop w:val="0"/>
      <w:marBottom w:val="0"/>
      <w:divBdr>
        <w:top w:val="none" w:sz="0" w:space="0" w:color="auto"/>
        <w:left w:val="none" w:sz="0" w:space="0" w:color="auto"/>
        <w:bottom w:val="none" w:sz="0" w:space="0" w:color="auto"/>
        <w:right w:val="none" w:sz="0" w:space="0" w:color="auto"/>
      </w:divBdr>
    </w:div>
    <w:div w:id="993607967">
      <w:bodyDiv w:val="1"/>
      <w:marLeft w:val="0"/>
      <w:marRight w:val="0"/>
      <w:marTop w:val="0"/>
      <w:marBottom w:val="0"/>
      <w:divBdr>
        <w:top w:val="none" w:sz="0" w:space="0" w:color="auto"/>
        <w:left w:val="none" w:sz="0" w:space="0" w:color="auto"/>
        <w:bottom w:val="none" w:sz="0" w:space="0" w:color="auto"/>
        <w:right w:val="none" w:sz="0" w:space="0" w:color="auto"/>
      </w:divBdr>
    </w:div>
    <w:div w:id="1014647457">
      <w:bodyDiv w:val="1"/>
      <w:marLeft w:val="0"/>
      <w:marRight w:val="0"/>
      <w:marTop w:val="0"/>
      <w:marBottom w:val="0"/>
      <w:divBdr>
        <w:top w:val="none" w:sz="0" w:space="0" w:color="auto"/>
        <w:left w:val="none" w:sz="0" w:space="0" w:color="auto"/>
        <w:bottom w:val="none" w:sz="0" w:space="0" w:color="auto"/>
        <w:right w:val="none" w:sz="0" w:space="0" w:color="auto"/>
      </w:divBdr>
    </w:div>
    <w:div w:id="1027440518">
      <w:bodyDiv w:val="1"/>
      <w:marLeft w:val="0"/>
      <w:marRight w:val="0"/>
      <w:marTop w:val="0"/>
      <w:marBottom w:val="0"/>
      <w:divBdr>
        <w:top w:val="none" w:sz="0" w:space="0" w:color="auto"/>
        <w:left w:val="none" w:sz="0" w:space="0" w:color="auto"/>
        <w:bottom w:val="none" w:sz="0" w:space="0" w:color="auto"/>
        <w:right w:val="none" w:sz="0" w:space="0" w:color="auto"/>
      </w:divBdr>
    </w:div>
    <w:div w:id="1042095141">
      <w:bodyDiv w:val="1"/>
      <w:marLeft w:val="0"/>
      <w:marRight w:val="0"/>
      <w:marTop w:val="0"/>
      <w:marBottom w:val="0"/>
      <w:divBdr>
        <w:top w:val="none" w:sz="0" w:space="0" w:color="auto"/>
        <w:left w:val="none" w:sz="0" w:space="0" w:color="auto"/>
        <w:bottom w:val="none" w:sz="0" w:space="0" w:color="auto"/>
        <w:right w:val="none" w:sz="0" w:space="0" w:color="auto"/>
      </w:divBdr>
    </w:div>
    <w:div w:id="1045832478">
      <w:bodyDiv w:val="1"/>
      <w:marLeft w:val="0"/>
      <w:marRight w:val="0"/>
      <w:marTop w:val="0"/>
      <w:marBottom w:val="0"/>
      <w:divBdr>
        <w:top w:val="none" w:sz="0" w:space="0" w:color="auto"/>
        <w:left w:val="none" w:sz="0" w:space="0" w:color="auto"/>
        <w:bottom w:val="none" w:sz="0" w:space="0" w:color="auto"/>
        <w:right w:val="none" w:sz="0" w:space="0" w:color="auto"/>
      </w:divBdr>
    </w:div>
    <w:div w:id="1054961222">
      <w:bodyDiv w:val="1"/>
      <w:marLeft w:val="0"/>
      <w:marRight w:val="0"/>
      <w:marTop w:val="0"/>
      <w:marBottom w:val="0"/>
      <w:divBdr>
        <w:top w:val="none" w:sz="0" w:space="0" w:color="auto"/>
        <w:left w:val="none" w:sz="0" w:space="0" w:color="auto"/>
        <w:bottom w:val="none" w:sz="0" w:space="0" w:color="auto"/>
        <w:right w:val="none" w:sz="0" w:space="0" w:color="auto"/>
      </w:divBdr>
    </w:div>
    <w:div w:id="1068529530">
      <w:bodyDiv w:val="1"/>
      <w:marLeft w:val="0"/>
      <w:marRight w:val="0"/>
      <w:marTop w:val="0"/>
      <w:marBottom w:val="0"/>
      <w:divBdr>
        <w:top w:val="none" w:sz="0" w:space="0" w:color="auto"/>
        <w:left w:val="none" w:sz="0" w:space="0" w:color="auto"/>
        <w:bottom w:val="none" w:sz="0" w:space="0" w:color="auto"/>
        <w:right w:val="none" w:sz="0" w:space="0" w:color="auto"/>
      </w:divBdr>
    </w:div>
    <w:div w:id="1089275236">
      <w:bodyDiv w:val="1"/>
      <w:marLeft w:val="0"/>
      <w:marRight w:val="0"/>
      <w:marTop w:val="0"/>
      <w:marBottom w:val="0"/>
      <w:divBdr>
        <w:top w:val="none" w:sz="0" w:space="0" w:color="auto"/>
        <w:left w:val="none" w:sz="0" w:space="0" w:color="auto"/>
        <w:bottom w:val="none" w:sz="0" w:space="0" w:color="auto"/>
        <w:right w:val="none" w:sz="0" w:space="0" w:color="auto"/>
      </w:divBdr>
    </w:div>
    <w:div w:id="1093013514">
      <w:bodyDiv w:val="1"/>
      <w:marLeft w:val="0"/>
      <w:marRight w:val="0"/>
      <w:marTop w:val="0"/>
      <w:marBottom w:val="0"/>
      <w:divBdr>
        <w:top w:val="none" w:sz="0" w:space="0" w:color="auto"/>
        <w:left w:val="none" w:sz="0" w:space="0" w:color="auto"/>
        <w:bottom w:val="none" w:sz="0" w:space="0" w:color="auto"/>
        <w:right w:val="none" w:sz="0" w:space="0" w:color="auto"/>
      </w:divBdr>
    </w:div>
    <w:div w:id="1095902575">
      <w:bodyDiv w:val="1"/>
      <w:marLeft w:val="0"/>
      <w:marRight w:val="0"/>
      <w:marTop w:val="0"/>
      <w:marBottom w:val="0"/>
      <w:divBdr>
        <w:top w:val="none" w:sz="0" w:space="0" w:color="auto"/>
        <w:left w:val="none" w:sz="0" w:space="0" w:color="auto"/>
        <w:bottom w:val="none" w:sz="0" w:space="0" w:color="auto"/>
        <w:right w:val="none" w:sz="0" w:space="0" w:color="auto"/>
      </w:divBdr>
    </w:div>
    <w:div w:id="1111971359">
      <w:bodyDiv w:val="1"/>
      <w:marLeft w:val="0"/>
      <w:marRight w:val="0"/>
      <w:marTop w:val="0"/>
      <w:marBottom w:val="0"/>
      <w:divBdr>
        <w:top w:val="none" w:sz="0" w:space="0" w:color="auto"/>
        <w:left w:val="none" w:sz="0" w:space="0" w:color="auto"/>
        <w:bottom w:val="none" w:sz="0" w:space="0" w:color="auto"/>
        <w:right w:val="none" w:sz="0" w:space="0" w:color="auto"/>
      </w:divBdr>
    </w:div>
    <w:div w:id="1150365715">
      <w:bodyDiv w:val="1"/>
      <w:marLeft w:val="0"/>
      <w:marRight w:val="0"/>
      <w:marTop w:val="0"/>
      <w:marBottom w:val="0"/>
      <w:divBdr>
        <w:top w:val="none" w:sz="0" w:space="0" w:color="auto"/>
        <w:left w:val="none" w:sz="0" w:space="0" w:color="auto"/>
        <w:bottom w:val="none" w:sz="0" w:space="0" w:color="auto"/>
        <w:right w:val="none" w:sz="0" w:space="0" w:color="auto"/>
      </w:divBdr>
    </w:div>
    <w:div w:id="1160656315">
      <w:bodyDiv w:val="1"/>
      <w:marLeft w:val="0"/>
      <w:marRight w:val="0"/>
      <w:marTop w:val="0"/>
      <w:marBottom w:val="0"/>
      <w:divBdr>
        <w:top w:val="none" w:sz="0" w:space="0" w:color="auto"/>
        <w:left w:val="none" w:sz="0" w:space="0" w:color="auto"/>
        <w:bottom w:val="none" w:sz="0" w:space="0" w:color="auto"/>
        <w:right w:val="none" w:sz="0" w:space="0" w:color="auto"/>
      </w:divBdr>
    </w:div>
    <w:div w:id="1174758149">
      <w:bodyDiv w:val="1"/>
      <w:marLeft w:val="0"/>
      <w:marRight w:val="0"/>
      <w:marTop w:val="0"/>
      <w:marBottom w:val="0"/>
      <w:divBdr>
        <w:top w:val="none" w:sz="0" w:space="0" w:color="auto"/>
        <w:left w:val="none" w:sz="0" w:space="0" w:color="auto"/>
        <w:bottom w:val="none" w:sz="0" w:space="0" w:color="auto"/>
        <w:right w:val="none" w:sz="0" w:space="0" w:color="auto"/>
      </w:divBdr>
    </w:div>
    <w:div w:id="1185024435">
      <w:bodyDiv w:val="1"/>
      <w:marLeft w:val="0"/>
      <w:marRight w:val="0"/>
      <w:marTop w:val="0"/>
      <w:marBottom w:val="0"/>
      <w:divBdr>
        <w:top w:val="none" w:sz="0" w:space="0" w:color="auto"/>
        <w:left w:val="none" w:sz="0" w:space="0" w:color="auto"/>
        <w:bottom w:val="none" w:sz="0" w:space="0" w:color="auto"/>
        <w:right w:val="none" w:sz="0" w:space="0" w:color="auto"/>
      </w:divBdr>
    </w:div>
    <w:div w:id="1204713574">
      <w:bodyDiv w:val="1"/>
      <w:marLeft w:val="0"/>
      <w:marRight w:val="0"/>
      <w:marTop w:val="0"/>
      <w:marBottom w:val="0"/>
      <w:divBdr>
        <w:top w:val="none" w:sz="0" w:space="0" w:color="auto"/>
        <w:left w:val="none" w:sz="0" w:space="0" w:color="auto"/>
        <w:bottom w:val="none" w:sz="0" w:space="0" w:color="auto"/>
        <w:right w:val="none" w:sz="0" w:space="0" w:color="auto"/>
      </w:divBdr>
    </w:div>
    <w:div w:id="1212036268">
      <w:bodyDiv w:val="1"/>
      <w:marLeft w:val="0"/>
      <w:marRight w:val="0"/>
      <w:marTop w:val="0"/>
      <w:marBottom w:val="0"/>
      <w:divBdr>
        <w:top w:val="none" w:sz="0" w:space="0" w:color="auto"/>
        <w:left w:val="none" w:sz="0" w:space="0" w:color="auto"/>
        <w:bottom w:val="none" w:sz="0" w:space="0" w:color="auto"/>
        <w:right w:val="none" w:sz="0" w:space="0" w:color="auto"/>
      </w:divBdr>
    </w:div>
    <w:div w:id="1217543450">
      <w:bodyDiv w:val="1"/>
      <w:marLeft w:val="0"/>
      <w:marRight w:val="0"/>
      <w:marTop w:val="0"/>
      <w:marBottom w:val="0"/>
      <w:divBdr>
        <w:top w:val="none" w:sz="0" w:space="0" w:color="auto"/>
        <w:left w:val="none" w:sz="0" w:space="0" w:color="auto"/>
        <w:bottom w:val="none" w:sz="0" w:space="0" w:color="auto"/>
        <w:right w:val="none" w:sz="0" w:space="0" w:color="auto"/>
      </w:divBdr>
    </w:div>
    <w:div w:id="1231307737">
      <w:bodyDiv w:val="1"/>
      <w:marLeft w:val="0"/>
      <w:marRight w:val="0"/>
      <w:marTop w:val="0"/>
      <w:marBottom w:val="0"/>
      <w:divBdr>
        <w:top w:val="none" w:sz="0" w:space="0" w:color="auto"/>
        <w:left w:val="none" w:sz="0" w:space="0" w:color="auto"/>
        <w:bottom w:val="none" w:sz="0" w:space="0" w:color="auto"/>
        <w:right w:val="none" w:sz="0" w:space="0" w:color="auto"/>
      </w:divBdr>
    </w:div>
    <w:div w:id="1235353606">
      <w:bodyDiv w:val="1"/>
      <w:marLeft w:val="0"/>
      <w:marRight w:val="0"/>
      <w:marTop w:val="0"/>
      <w:marBottom w:val="0"/>
      <w:divBdr>
        <w:top w:val="none" w:sz="0" w:space="0" w:color="auto"/>
        <w:left w:val="none" w:sz="0" w:space="0" w:color="auto"/>
        <w:bottom w:val="none" w:sz="0" w:space="0" w:color="auto"/>
        <w:right w:val="none" w:sz="0" w:space="0" w:color="auto"/>
      </w:divBdr>
    </w:div>
    <w:div w:id="1257130383">
      <w:bodyDiv w:val="1"/>
      <w:marLeft w:val="0"/>
      <w:marRight w:val="0"/>
      <w:marTop w:val="0"/>
      <w:marBottom w:val="0"/>
      <w:divBdr>
        <w:top w:val="none" w:sz="0" w:space="0" w:color="auto"/>
        <w:left w:val="none" w:sz="0" w:space="0" w:color="auto"/>
        <w:bottom w:val="none" w:sz="0" w:space="0" w:color="auto"/>
        <w:right w:val="none" w:sz="0" w:space="0" w:color="auto"/>
      </w:divBdr>
    </w:div>
    <w:div w:id="1297486955">
      <w:bodyDiv w:val="1"/>
      <w:marLeft w:val="0"/>
      <w:marRight w:val="0"/>
      <w:marTop w:val="0"/>
      <w:marBottom w:val="0"/>
      <w:divBdr>
        <w:top w:val="none" w:sz="0" w:space="0" w:color="auto"/>
        <w:left w:val="none" w:sz="0" w:space="0" w:color="auto"/>
        <w:bottom w:val="none" w:sz="0" w:space="0" w:color="auto"/>
        <w:right w:val="none" w:sz="0" w:space="0" w:color="auto"/>
      </w:divBdr>
    </w:div>
    <w:div w:id="1308507512">
      <w:bodyDiv w:val="1"/>
      <w:marLeft w:val="0"/>
      <w:marRight w:val="0"/>
      <w:marTop w:val="0"/>
      <w:marBottom w:val="0"/>
      <w:divBdr>
        <w:top w:val="none" w:sz="0" w:space="0" w:color="auto"/>
        <w:left w:val="none" w:sz="0" w:space="0" w:color="auto"/>
        <w:bottom w:val="none" w:sz="0" w:space="0" w:color="auto"/>
        <w:right w:val="none" w:sz="0" w:space="0" w:color="auto"/>
      </w:divBdr>
    </w:div>
    <w:div w:id="1313296473">
      <w:bodyDiv w:val="1"/>
      <w:marLeft w:val="0"/>
      <w:marRight w:val="0"/>
      <w:marTop w:val="0"/>
      <w:marBottom w:val="0"/>
      <w:divBdr>
        <w:top w:val="none" w:sz="0" w:space="0" w:color="auto"/>
        <w:left w:val="none" w:sz="0" w:space="0" w:color="auto"/>
        <w:bottom w:val="none" w:sz="0" w:space="0" w:color="auto"/>
        <w:right w:val="none" w:sz="0" w:space="0" w:color="auto"/>
      </w:divBdr>
    </w:div>
    <w:div w:id="1317224608">
      <w:bodyDiv w:val="1"/>
      <w:marLeft w:val="0"/>
      <w:marRight w:val="0"/>
      <w:marTop w:val="0"/>
      <w:marBottom w:val="0"/>
      <w:divBdr>
        <w:top w:val="none" w:sz="0" w:space="0" w:color="auto"/>
        <w:left w:val="none" w:sz="0" w:space="0" w:color="auto"/>
        <w:bottom w:val="none" w:sz="0" w:space="0" w:color="auto"/>
        <w:right w:val="none" w:sz="0" w:space="0" w:color="auto"/>
      </w:divBdr>
    </w:div>
    <w:div w:id="1319729316">
      <w:bodyDiv w:val="1"/>
      <w:marLeft w:val="0"/>
      <w:marRight w:val="0"/>
      <w:marTop w:val="0"/>
      <w:marBottom w:val="0"/>
      <w:divBdr>
        <w:top w:val="none" w:sz="0" w:space="0" w:color="auto"/>
        <w:left w:val="none" w:sz="0" w:space="0" w:color="auto"/>
        <w:bottom w:val="none" w:sz="0" w:space="0" w:color="auto"/>
        <w:right w:val="none" w:sz="0" w:space="0" w:color="auto"/>
      </w:divBdr>
    </w:div>
    <w:div w:id="1322274611">
      <w:bodyDiv w:val="1"/>
      <w:marLeft w:val="0"/>
      <w:marRight w:val="0"/>
      <w:marTop w:val="0"/>
      <w:marBottom w:val="0"/>
      <w:divBdr>
        <w:top w:val="none" w:sz="0" w:space="0" w:color="auto"/>
        <w:left w:val="none" w:sz="0" w:space="0" w:color="auto"/>
        <w:bottom w:val="none" w:sz="0" w:space="0" w:color="auto"/>
        <w:right w:val="none" w:sz="0" w:space="0" w:color="auto"/>
      </w:divBdr>
    </w:div>
    <w:div w:id="1324426959">
      <w:bodyDiv w:val="1"/>
      <w:marLeft w:val="0"/>
      <w:marRight w:val="0"/>
      <w:marTop w:val="0"/>
      <w:marBottom w:val="0"/>
      <w:divBdr>
        <w:top w:val="none" w:sz="0" w:space="0" w:color="auto"/>
        <w:left w:val="none" w:sz="0" w:space="0" w:color="auto"/>
        <w:bottom w:val="none" w:sz="0" w:space="0" w:color="auto"/>
        <w:right w:val="none" w:sz="0" w:space="0" w:color="auto"/>
      </w:divBdr>
    </w:div>
    <w:div w:id="1336568238">
      <w:bodyDiv w:val="1"/>
      <w:marLeft w:val="0"/>
      <w:marRight w:val="0"/>
      <w:marTop w:val="0"/>
      <w:marBottom w:val="0"/>
      <w:divBdr>
        <w:top w:val="none" w:sz="0" w:space="0" w:color="auto"/>
        <w:left w:val="none" w:sz="0" w:space="0" w:color="auto"/>
        <w:bottom w:val="none" w:sz="0" w:space="0" w:color="auto"/>
        <w:right w:val="none" w:sz="0" w:space="0" w:color="auto"/>
      </w:divBdr>
    </w:div>
    <w:div w:id="1381788117">
      <w:bodyDiv w:val="1"/>
      <w:marLeft w:val="0"/>
      <w:marRight w:val="0"/>
      <w:marTop w:val="0"/>
      <w:marBottom w:val="0"/>
      <w:divBdr>
        <w:top w:val="none" w:sz="0" w:space="0" w:color="auto"/>
        <w:left w:val="none" w:sz="0" w:space="0" w:color="auto"/>
        <w:bottom w:val="none" w:sz="0" w:space="0" w:color="auto"/>
        <w:right w:val="none" w:sz="0" w:space="0" w:color="auto"/>
      </w:divBdr>
    </w:div>
    <w:div w:id="1387412186">
      <w:bodyDiv w:val="1"/>
      <w:marLeft w:val="0"/>
      <w:marRight w:val="0"/>
      <w:marTop w:val="0"/>
      <w:marBottom w:val="0"/>
      <w:divBdr>
        <w:top w:val="none" w:sz="0" w:space="0" w:color="auto"/>
        <w:left w:val="none" w:sz="0" w:space="0" w:color="auto"/>
        <w:bottom w:val="none" w:sz="0" w:space="0" w:color="auto"/>
        <w:right w:val="none" w:sz="0" w:space="0" w:color="auto"/>
      </w:divBdr>
    </w:div>
    <w:div w:id="1412896848">
      <w:bodyDiv w:val="1"/>
      <w:marLeft w:val="0"/>
      <w:marRight w:val="0"/>
      <w:marTop w:val="0"/>
      <w:marBottom w:val="0"/>
      <w:divBdr>
        <w:top w:val="none" w:sz="0" w:space="0" w:color="auto"/>
        <w:left w:val="none" w:sz="0" w:space="0" w:color="auto"/>
        <w:bottom w:val="none" w:sz="0" w:space="0" w:color="auto"/>
        <w:right w:val="none" w:sz="0" w:space="0" w:color="auto"/>
      </w:divBdr>
    </w:div>
    <w:div w:id="1416825036">
      <w:bodyDiv w:val="1"/>
      <w:marLeft w:val="0"/>
      <w:marRight w:val="0"/>
      <w:marTop w:val="0"/>
      <w:marBottom w:val="0"/>
      <w:divBdr>
        <w:top w:val="none" w:sz="0" w:space="0" w:color="auto"/>
        <w:left w:val="none" w:sz="0" w:space="0" w:color="auto"/>
        <w:bottom w:val="none" w:sz="0" w:space="0" w:color="auto"/>
        <w:right w:val="none" w:sz="0" w:space="0" w:color="auto"/>
      </w:divBdr>
    </w:div>
    <w:div w:id="1421491377">
      <w:bodyDiv w:val="1"/>
      <w:marLeft w:val="0"/>
      <w:marRight w:val="0"/>
      <w:marTop w:val="0"/>
      <w:marBottom w:val="0"/>
      <w:divBdr>
        <w:top w:val="none" w:sz="0" w:space="0" w:color="auto"/>
        <w:left w:val="none" w:sz="0" w:space="0" w:color="auto"/>
        <w:bottom w:val="none" w:sz="0" w:space="0" w:color="auto"/>
        <w:right w:val="none" w:sz="0" w:space="0" w:color="auto"/>
      </w:divBdr>
    </w:div>
    <w:div w:id="1429155301">
      <w:bodyDiv w:val="1"/>
      <w:marLeft w:val="0"/>
      <w:marRight w:val="0"/>
      <w:marTop w:val="0"/>
      <w:marBottom w:val="0"/>
      <w:divBdr>
        <w:top w:val="none" w:sz="0" w:space="0" w:color="auto"/>
        <w:left w:val="none" w:sz="0" w:space="0" w:color="auto"/>
        <w:bottom w:val="none" w:sz="0" w:space="0" w:color="auto"/>
        <w:right w:val="none" w:sz="0" w:space="0" w:color="auto"/>
      </w:divBdr>
    </w:div>
    <w:div w:id="1462386912">
      <w:bodyDiv w:val="1"/>
      <w:marLeft w:val="0"/>
      <w:marRight w:val="0"/>
      <w:marTop w:val="0"/>
      <w:marBottom w:val="0"/>
      <w:divBdr>
        <w:top w:val="none" w:sz="0" w:space="0" w:color="auto"/>
        <w:left w:val="none" w:sz="0" w:space="0" w:color="auto"/>
        <w:bottom w:val="none" w:sz="0" w:space="0" w:color="auto"/>
        <w:right w:val="none" w:sz="0" w:space="0" w:color="auto"/>
      </w:divBdr>
    </w:div>
    <w:div w:id="1499148987">
      <w:bodyDiv w:val="1"/>
      <w:marLeft w:val="0"/>
      <w:marRight w:val="0"/>
      <w:marTop w:val="0"/>
      <w:marBottom w:val="0"/>
      <w:divBdr>
        <w:top w:val="none" w:sz="0" w:space="0" w:color="auto"/>
        <w:left w:val="none" w:sz="0" w:space="0" w:color="auto"/>
        <w:bottom w:val="none" w:sz="0" w:space="0" w:color="auto"/>
        <w:right w:val="none" w:sz="0" w:space="0" w:color="auto"/>
      </w:divBdr>
    </w:div>
    <w:div w:id="1504276938">
      <w:bodyDiv w:val="1"/>
      <w:marLeft w:val="0"/>
      <w:marRight w:val="0"/>
      <w:marTop w:val="0"/>
      <w:marBottom w:val="0"/>
      <w:divBdr>
        <w:top w:val="none" w:sz="0" w:space="0" w:color="auto"/>
        <w:left w:val="none" w:sz="0" w:space="0" w:color="auto"/>
        <w:bottom w:val="none" w:sz="0" w:space="0" w:color="auto"/>
        <w:right w:val="none" w:sz="0" w:space="0" w:color="auto"/>
      </w:divBdr>
    </w:div>
    <w:div w:id="1512914991">
      <w:bodyDiv w:val="1"/>
      <w:marLeft w:val="0"/>
      <w:marRight w:val="0"/>
      <w:marTop w:val="0"/>
      <w:marBottom w:val="0"/>
      <w:divBdr>
        <w:top w:val="none" w:sz="0" w:space="0" w:color="auto"/>
        <w:left w:val="none" w:sz="0" w:space="0" w:color="auto"/>
        <w:bottom w:val="none" w:sz="0" w:space="0" w:color="auto"/>
        <w:right w:val="none" w:sz="0" w:space="0" w:color="auto"/>
      </w:divBdr>
    </w:div>
    <w:div w:id="1513373099">
      <w:bodyDiv w:val="1"/>
      <w:marLeft w:val="0"/>
      <w:marRight w:val="0"/>
      <w:marTop w:val="0"/>
      <w:marBottom w:val="0"/>
      <w:divBdr>
        <w:top w:val="none" w:sz="0" w:space="0" w:color="auto"/>
        <w:left w:val="none" w:sz="0" w:space="0" w:color="auto"/>
        <w:bottom w:val="none" w:sz="0" w:space="0" w:color="auto"/>
        <w:right w:val="none" w:sz="0" w:space="0" w:color="auto"/>
      </w:divBdr>
    </w:div>
    <w:div w:id="1552155837">
      <w:bodyDiv w:val="1"/>
      <w:marLeft w:val="0"/>
      <w:marRight w:val="0"/>
      <w:marTop w:val="0"/>
      <w:marBottom w:val="0"/>
      <w:divBdr>
        <w:top w:val="none" w:sz="0" w:space="0" w:color="auto"/>
        <w:left w:val="none" w:sz="0" w:space="0" w:color="auto"/>
        <w:bottom w:val="none" w:sz="0" w:space="0" w:color="auto"/>
        <w:right w:val="none" w:sz="0" w:space="0" w:color="auto"/>
      </w:divBdr>
    </w:div>
    <w:div w:id="1555004862">
      <w:bodyDiv w:val="1"/>
      <w:marLeft w:val="0"/>
      <w:marRight w:val="0"/>
      <w:marTop w:val="0"/>
      <w:marBottom w:val="0"/>
      <w:divBdr>
        <w:top w:val="none" w:sz="0" w:space="0" w:color="auto"/>
        <w:left w:val="none" w:sz="0" w:space="0" w:color="auto"/>
        <w:bottom w:val="none" w:sz="0" w:space="0" w:color="auto"/>
        <w:right w:val="none" w:sz="0" w:space="0" w:color="auto"/>
      </w:divBdr>
    </w:div>
    <w:div w:id="1567956377">
      <w:bodyDiv w:val="1"/>
      <w:marLeft w:val="0"/>
      <w:marRight w:val="0"/>
      <w:marTop w:val="0"/>
      <w:marBottom w:val="0"/>
      <w:divBdr>
        <w:top w:val="none" w:sz="0" w:space="0" w:color="auto"/>
        <w:left w:val="none" w:sz="0" w:space="0" w:color="auto"/>
        <w:bottom w:val="none" w:sz="0" w:space="0" w:color="auto"/>
        <w:right w:val="none" w:sz="0" w:space="0" w:color="auto"/>
      </w:divBdr>
    </w:div>
    <w:div w:id="1569802624">
      <w:bodyDiv w:val="1"/>
      <w:marLeft w:val="0"/>
      <w:marRight w:val="0"/>
      <w:marTop w:val="0"/>
      <w:marBottom w:val="0"/>
      <w:divBdr>
        <w:top w:val="none" w:sz="0" w:space="0" w:color="auto"/>
        <w:left w:val="none" w:sz="0" w:space="0" w:color="auto"/>
        <w:bottom w:val="none" w:sz="0" w:space="0" w:color="auto"/>
        <w:right w:val="none" w:sz="0" w:space="0" w:color="auto"/>
      </w:divBdr>
    </w:div>
    <w:div w:id="1587617659">
      <w:bodyDiv w:val="1"/>
      <w:marLeft w:val="0"/>
      <w:marRight w:val="0"/>
      <w:marTop w:val="0"/>
      <w:marBottom w:val="0"/>
      <w:divBdr>
        <w:top w:val="none" w:sz="0" w:space="0" w:color="auto"/>
        <w:left w:val="none" w:sz="0" w:space="0" w:color="auto"/>
        <w:bottom w:val="none" w:sz="0" w:space="0" w:color="auto"/>
        <w:right w:val="none" w:sz="0" w:space="0" w:color="auto"/>
      </w:divBdr>
    </w:div>
    <w:div w:id="1605844238">
      <w:bodyDiv w:val="1"/>
      <w:marLeft w:val="0"/>
      <w:marRight w:val="0"/>
      <w:marTop w:val="0"/>
      <w:marBottom w:val="0"/>
      <w:divBdr>
        <w:top w:val="none" w:sz="0" w:space="0" w:color="auto"/>
        <w:left w:val="none" w:sz="0" w:space="0" w:color="auto"/>
        <w:bottom w:val="none" w:sz="0" w:space="0" w:color="auto"/>
        <w:right w:val="none" w:sz="0" w:space="0" w:color="auto"/>
      </w:divBdr>
    </w:div>
    <w:div w:id="1635285685">
      <w:bodyDiv w:val="1"/>
      <w:marLeft w:val="0"/>
      <w:marRight w:val="0"/>
      <w:marTop w:val="0"/>
      <w:marBottom w:val="0"/>
      <w:divBdr>
        <w:top w:val="none" w:sz="0" w:space="0" w:color="auto"/>
        <w:left w:val="none" w:sz="0" w:space="0" w:color="auto"/>
        <w:bottom w:val="none" w:sz="0" w:space="0" w:color="auto"/>
        <w:right w:val="none" w:sz="0" w:space="0" w:color="auto"/>
      </w:divBdr>
    </w:div>
    <w:div w:id="1644189647">
      <w:bodyDiv w:val="1"/>
      <w:marLeft w:val="0"/>
      <w:marRight w:val="0"/>
      <w:marTop w:val="0"/>
      <w:marBottom w:val="0"/>
      <w:divBdr>
        <w:top w:val="none" w:sz="0" w:space="0" w:color="auto"/>
        <w:left w:val="none" w:sz="0" w:space="0" w:color="auto"/>
        <w:bottom w:val="none" w:sz="0" w:space="0" w:color="auto"/>
        <w:right w:val="none" w:sz="0" w:space="0" w:color="auto"/>
      </w:divBdr>
    </w:div>
    <w:div w:id="1668555027">
      <w:bodyDiv w:val="1"/>
      <w:marLeft w:val="0"/>
      <w:marRight w:val="0"/>
      <w:marTop w:val="0"/>
      <w:marBottom w:val="0"/>
      <w:divBdr>
        <w:top w:val="none" w:sz="0" w:space="0" w:color="auto"/>
        <w:left w:val="none" w:sz="0" w:space="0" w:color="auto"/>
        <w:bottom w:val="none" w:sz="0" w:space="0" w:color="auto"/>
        <w:right w:val="none" w:sz="0" w:space="0" w:color="auto"/>
      </w:divBdr>
    </w:div>
    <w:div w:id="1672374571">
      <w:bodyDiv w:val="1"/>
      <w:marLeft w:val="0"/>
      <w:marRight w:val="0"/>
      <w:marTop w:val="0"/>
      <w:marBottom w:val="0"/>
      <w:divBdr>
        <w:top w:val="none" w:sz="0" w:space="0" w:color="auto"/>
        <w:left w:val="none" w:sz="0" w:space="0" w:color="auto"/>
        <w:bottom w:val="none" w:sz="0" w:space="0" w:color="auto"/>
        <w:right w:val="none" w:sz="0" w:space="0" w:color="auto"/>
      </w:divBdr>
    </w:div>
    <w:div w:id="1676106623">
      <w:bodyDiv w:val="1"/>
      <w:marLeft w:val="0"/>
      <w:marRight w:val="0"/>
      <w:marTop w:val="0"/>
      <w:marBottom w:val="0"/>
      <w:divBdr>
        <w:top w:val="none" w:sz="0" w:space="0" w:color="auto"/>
        <w:left w:val="none" w:sz="0" w:space="0" w:color="auto"/>
        <w:bottom w:val="none" w:sz="0" w:space="0" w:color="auto"/>
        <w:right w:val="none" w:sz="0" w:space="0" w:color="auto"/>
      </w:divBdr>
    </w:div>
    <w:div w:id="1695957065">
      <w:bodyDiv w:val="1"/>
      <w:marLeft w:val="0"/>
      <w:marRight w:val="0"/>
      <w:marTop w:val="0"/>
      <w:marBottom w:val="0"/>
      <w:divBdr>
        <w:top w:val="none" w:sz="0" w:space="0" w:color="auto"/>
        <w:left w:val="none" w:sz="0" w:space="0" w:color="auto"/>
        <w:bottom w:val="none" w:sz="0" w:space="0" w:color="auto"/>
        <w:right w:val="none" w:sz="0" w:space="0" w:color="auto"/>
      </w:divBdr>
    </w:div>
    <w:div w:id="1697148339">
      <w:bodyDiv w:val="1"/>
      <w:marLeft w:val="0"/>
      <w:marRight w:val="0"/>
      <w:marTop w:val="0"/>
      <w:marBottom w:val="0"/>
      <w:divBdr>
        <w:top w:val="none" w:sz="0" w:space="0" w:color="auto"/>
        <w:left w:val="none" w:sz="0" w:space="0" w:color="auto"/>
        <w:bottom w:val="none" w:sz="0" w:space="0" w:color="auto"/>
        <w:right w:val="none" w:sz="0" w:space="0" w:color="auto"/>
      </w:divBdr>
    </w:div>
    <w:div w:id="1705212715">
      <w:bodyDiv w:val="1"/>
      <w:marLeft w:val="0"/>
      <w:marRight w:val="0"/>
      <w:marTop w:val="0"/>
      <w:marBottom w:val="0"/>
      <w:divBdr>
        <w:top w:val="none" w:sz="0" w:space="0" w:color="auto"/>
        <w:left w:val="none" w:sz="0" w:space="0" w:color="auto"/>
        <w:bottom w:val="none" w:sz="0" w:space="0" w:color="auto"/>
        <w:right w:val="none" w:sz="0" w:space="0" w:color="auto"/>
      </w:divBdr>
    </w:div>
    <w:div w:id="1743212559">
      <w:bodyDiv w:val="1"/>
      <w:marLeft w:val="0"/>
      <w:marRight w:val="0"/>
      <w:marTop w:val="0"/>
      <w:marBottom w:val="0"/>
      <w:divBdr>
        <w:top w:val="none" w:sz="0" w:space="0" w:color="auto"/>
        <w:left w:val="none" w:sz="0" w:space="0" w:color="auto"/>
        <w:bottom w:val="none" w:sz="0" w:space="0" w:color="auto"/>
        <w:right w:val="none" w:sz="0" w:space="0" w:color="auto"/>
      </w:divBdr>
    </w:div>
    <w:div w:id="1746226659">
      <w:bodyDiv w:val="1"/>
      <w:marLeft w:val="0"/>
      <w:marRight w:val="0"/>
      <w:marTop w:val="0"/>
      <w:marBottom w:val="0"/>
      <w:divBdr>
        <w:top w:val="none" w:sz="0" w:space="0" w:color="auto"/>
        <w:left w:val="none" w:sz="0" w:space="0" w:color="auto"/>
        <w:bottom w:val="none" w:sz="0" w:space="0" w:color="auto"/>
        <w:right w:val="none" w:sz="0" w:space="0" w:color="auto"/>
      </w:divBdr>
    </w:div>
    <w:div w:id="1750538115">
      <w:bodyDiv w:val="1"/>
      <w:marLeft w:val="0"/>
      <w:marRight w:val="0"/>
      <w:marTop w:val="0"/>
      <w:marBottom w:val="0"/>
      <w:divBdr>
        <w:top w:val="none" w:sz="0" w:space="0" w:color="auto"/>
        <w:left w:val="none" w:sz="0" w:space="0" w:color="auto"/>
        <w:bottom w:val="none" w:sz="0" w:space="0" w:color="auto"/>
        <w:right w:val="none" w:sz="0" w:space="0" w:color="auto"/>
      </w:divBdr>
      <w:divsChild>
        <w:div w:id="740522495">
          <w:marLeft w:val="0"/>
          <w:marRight w:val="0"/>
          <w:marTop w:val="0"/>
          <w:marBottom w:val="0"/>
          <w:divBdr>
            <w:top w:val="none" w:sz="0" w:space="0" w:color="auto"/>
            <w:left w:val="none" w:sz="0" w:space="0" w:color="auto"/>
            <w:bottom w:val="none" w:sz="0" w:space="0" w:color="auto"/>
            <w:right w:val="none" w:sz="0" w:space="0" w:color="auto"/>
          </w:divBdr>
          <w:divsChild>
            <w:div w:id="559681617">
              <w:marLeft w:val="0"/>
              <w:marRight w:val="0"/>
              <w:marTop w:val="0"/>
              <w:marBottom w:val="0"/>
              <w:divBdr>
                <w:top w:val="none" w:sz="0" w:space="0" w:color="auto"/>
                <w:left w:val="none" w:sz="0" w:space="0" w:color="auto"/>
                <w:bottom w:val="none" w:sz="0" w:space="0" w:color="auto"/>
                <w:right w:val="none" w:sz="0" w:space="0" w:color="auto"/>
              </w:divBdr>
            </w:div>
            <w:div w:id="21209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9140">
      <w:bodyDiv w:val="1"/>
      <w:marLeft w:val="0"/>
      <w:marRight w:val="0"/>
      <w:marTop w:val="0"/>
      <w:marBottom w:val="0"/>
      <w:divBdr>
        <w:top w:val="none" w:sz="0" w:space="0" w:color="auto"/>
        <w:left w:val="none" w:sz="0" w:space="0" w:color="auto"/>
        <w:bottom w:val="none" w:sz="0" w:space="0" w:color="auto"/>
        <w:right w:val="none" w:sz="0" w:space="0" w:color="auto"/>
      </w:divBdr>
    </w:div>
    <w:div w:id="1772579503">
      <w:bodyDiv w:val="1"/>
      <w:marLeft w:val="0"/>
      <w:marRight w:val="0"/>
      <w:marTop w:val="0"/>
      <w:marBottom w:val="0"/>
      <w:divBdr>
        <w:top w:val="none" w:sz="0" w:space="0" w:color="auto"/>
        <w:left w:val="none" w:sz="0" w:space="0" w:color="auto"/>
        <w:bottom w:val="none" w:sz="0" w:space="0" w:color="auto"/>
        <w:right w:val="none" w:sz="0" w:space="0" w:color="auto"/>
      </w:divBdr>
    </w:div>
    <w:div w:id="1778522669">
      <w:bodyDiv w:val="1"/>
      <w:marLeft w:val="0"/>
      <w:marRight w:val="0"/>
      <w:marTop w:val="0"/>
      <w:marBottom w:val="0"/>
      <w:divBdr>
        <w:top w:val="none" w:sz="0" w:space="0" w:color="auto"/>
        <w:left w:val="none" w:sz="0" w:space="0" w:color="auto"/>
        <w:bottom w:val="none" w:sz="0" w:space="0" w:color="auto"/>
        <w:right w:val="none" w:sz="0" w:space="0" w:color="auto"/>
      </w:divBdr>
    </w:div>
    <w:div w:id="1782413689">
      <w:bodyDiv w:val="1"/>
      <w:marLeft w:val="0"/>
      <w:marRight w:val="0"/>
      <w:marTop w:val="0"/>
      <w:marBottom w:val="0"/>
      <w:divBdr>
        <w:top w:val="none" w:sz="0" w:space="0" w:color="auto"/>
        <w:left w:val="none" w:sz="0" w:space="0" w:color="auto"/>
        <w:bottom w:val="none" w:sz="0" w:space="0" w:color="auto"/>
        <w:right w:val="none" w:sz="0" w:space="0" w:color="auto"/>
      </w:divBdr>
    </w:div>
    <w:div w:id="1790082435">
      <w:bodyDiv w:val="1"/>
      <w:marLeft w:val="0"/>
      <w:marRight w:val="0"/>
      <w:marTop w:val="0"/>
      <w:marBottom w:val="0"/>
      <w:divBdr>
        <w:top w:val="none" w:sz="0" w:space="0" w:color="auto"/>
        <w:left w:val="none" w:sz="0" w:space="0" w:color="auto"/>
        <w:bottom w:val="none" w:sz="0" w:space="0" w:color="auto"/>
        <w:right w:val="none" w:sz="0" w:space="0" w:color="auto"/>
      </w:divBdr>
    </w:div>
    <w:div w:id="1790660438">
      <w:bodyDiv w:val="1"/>
      <w:marLeft w:val="0"/>
      <w:marRight w:val="0"/>
      <w:marTop w:val="0"/>
      <w:marBottom w:val="0"/>
      <w:divBdr>
        <w:top w:val="none" w:sz="0" w:space="0" w:color="auto"/>
        <w:left w:val="none" w:sz="0" w:space="0" w:color="auto"/>
        <w:bottom w:val="none" w:sz="0" w:space="0" w:color="auto"/>
        <w:right w:val="none" w:sz="0" w:space="0" w:color="auto"/>
      </w:divBdr>
    </w:div>
    <w:div w:id="1800759263">
      <w:bodyDiv w:val="1"/>
      <w:marLeft w:val="0"/>
      <w:marRight w:val="0"/>
      <w:marTop w:val="0"/>
      <w:marBottom w:val="0"/>
      <w:divBdr>
        <w:top w:val="none" w:sz="0" w:space="0" w:color="auto"/>
        <w:left w:val="none" w:sz="0" w:space="0" w:color="auto"/>
        <w:bottom w:val="none" w:sz="0" w:space="0" w:color="auto"/>
        <w:right w:val="none" w:sz="0" w:space="0" w:color="auto"/>
      </w:divBdr>
    </w:div>
    <w:div w:id="1803426384">
      <w:bodyDiv w:val="1"/>
      <w:marLeft w:val="0"/>
      <w:marRight w:val="0"/>
      <w:marTop w:val="0"/>
      <w:marBottom w:val="0"/>
      <w:divBdr>
        <w:top w:val="none" w:sz="0" w:space="0" w:color="auto"/>
        <w:left w:val="none" w:sz="0" w:space="0" w:color="auto"/>
        <w:bottom w:val="none" w:sz="0" w:space="0" w:color="auto"/>
        <w:right w:val="none" w:sz="0" w:space="0" w:color="auto"/>
      </w:divBdr>
    </w:div>
    <w:div w:id="1813986445">
      <w:bodyDiv w:val="1"/>
      <w:marLeft w:val="0"/>
      <w:marRight w:val="0"/>
      <w:marTop w:val="0"/>
      <w:marBottom w:val="0"/>
      <w:divBdr>
        <w:top w:val="none" w:sz="0" w:space="0" w:color="auto"/>
        <w:left w:val="none" w:sz="0" w:space="0" w:color="auto"/>
        <w:bottom w:val="none" w:sz="0" w:space="0" w:color="auto"/>
        <w:right w:val="none" w:sz="0" w:space="0" w:color="auto"/>
      </w:divBdr>
    </w:div>
    <w:div w:id="1821342130">
      <w:bodyDiv w:val="1"/>
      <w:marLeft w:val="0"/>
      <w:marRight w:val="0"/>
      <w:marTop w:val="0"/>
      <w:marBottom w:val="0"/>
      <w:divBdr>
        <w:top w:val="none" w:sz="0" w:space="0" w:color="auto"/>
        <w:left w:val="none" w:sz="0" w:space="0" w:color="auto"/>
        <w:bottom w:val="none" w:sz="0" w:space="0" w:color="auto"/>
        <w:right w:val="none" w:sz="0" w:space="0" w:color="auto"/>
      </w:divBdr>
    </w:div>
    <w:div w:id="1828744566">
      <w:bodyDiv w:val="1"/>
      <w:marLeft w:val="0"/>
      <w:marRight w:val="0"/>
      <w:marTop w:val="0"/>
      <w:marBottom w:val="0"/>
      <w:divBdr>
        <w:top w:val="none" w:sz="0" w:space="0" w:color="auto"/>
        <w:left w:val="none" w:sz="0" w:space="0" w:color="auto"/>
        <w:bottom w:val="none" w:sz="0" w:space="0" w:color="auto"/>
        <w:right w:val="none" w:sz="0" w:space="0" w:color="auto"/>
      </w:divBdr>
    </w:div>
    <w:div w:id="1829249866">
      <w:bodyDiv w:val="1"/>
      <w:marLeft w:val="0"/>
      <w:marRight w:val="0"/>
      <w:marTop w:val="0"/>
      <w:marBottom w:val="0"/>
      <w:divBdr>
        <w:top w:val="none" w:sz="0" w:space="0" w:color="auto"/>
        <w:left w:val="none" w:sz="0" w:space="0" w:color="auto"/>
        <w:bottom w:val="none" w:sz="0" w:space="0" w:color="auto"/>
        <w:right w:val="none" w:sz="0" w:space="0" w:color="auto"/>
      </w:divBdr>
    </w:div>
    <w:div w:id="1845627407">
      <w:bodyDiv w:val="1"/>
      <w:marLeft w:val="0"/>
      <w:marRight w:val="0"/>
      <w:marTop w:val="0"/>
      <w:marBottom w:val="0"/>
      <w:divBdr>
        <w:top w:val="none" w:sz="0" w:space="0" w:color="auto"/>
        <w:left w:val="none" w:sz="0" w:space="0" w:color="auto"/>
        <w:bottom w:val="none" w:sz="0" w:space="0" w:color="auto"/>
        <w:right w:val="none" w:sz="0" w:space="0" w:color="auto"/>
      </w:divBdr>
    </w:div>
    <w:div w:id="1855878069">
      <w:bodyDiv w:val="1"/>
      <w:marLeft w:val="0"/>
      <w:marRight w:val="0"/>
      <w:marTop w:val="0"/>
      <w:marBottom w:val="0"/>
      <w:divBdr>
        <w:top w:val="none" w:sz="0" w:space="0" w:color="auto"/>
        <w:left w:val="none" w:sz="0" w:space="0" w:color="auto"/>
        <w:bottom w:val="none" w:sz="0" w:space="0" w:color="auto"/>
        <w:right w:val="none" w:sz="0" w:space="0" w:color="auto"/>
      </w:divBdr>
    </w:div>
    <w:div w:id="1861158096">
      <w:bodyDiv w:val="1"/>
      <w:marLeft w:val="0"/>
      <w:marRight w:val="0"/>
      <w:marTop w:val="0"/>
      <w:marBottom w:val="0"/>
      <w:divBdr>
        <w:top w:val="none" w:sz="0" w:space="0" w:color="auto"/>
        <w:left w:val="none" w:sz="0" w:space="0" w:color="auto"/>
        <w:bottom w:val="none" w:sz="0" w:space="0" w:color="auto"/>
        <w:right w:val="none" w:sz="0" w:space="0" w:color="auto"/>
      </w:divBdr>
    </w:div>
    <w:div w:id="1867984312">
      <w:bodyDiv w:val="1"/>
      <w:marLeft w:val="0"/>
      <w:marRight w:val="0"/>
      <w:marTop w:val="0"/>
      <w:marBottom w:val="0"/>
      <w:divBdr>
        <w:top w:val="none" w:sz="0" w:space="0" w:color="auto"/>
        <w:left w:val="none" w:sz="0" w:space="0" w:color="auto"/>
        <w:bottom w:val="none" w:sz="0" w:space="0" w:color="auto"/>
        <w:right w:val="none" w:sz="0" w:space="0" w:color="auto"/>
      </w:divBdr>
    </w:div>
    <w:div w:id="1869684663">
      <w:bodyDiv w:val="1"/>
      <w:marLeft w:val="0"/>
      <w:marRight w:val="0"/>
      <w:marTop w:val="0"/>
      <w:marBottom w:val="0"/>
      <w:divBdr>
        <w:top w:val="none" w:sz="0" w:space="0" w:color="auto"/>
        <w:left w:val="none" w:sz="0" w:space="0" w:color="auto"/>
        <w:bottom w:val="none" w:sz="0" w:space="0" w:color="auto"/>
        <w:right w:val="none" w:sz="0" w:space="0" w:color="auto"/>
      </w:divBdr>
    </w:div>
    <w:div w:id="1873759818">
      <w:bodyDiv w:val="1"/>
      <w:marLeft w:val="0"/>
      <w:marRight w:val="0"/>
      <w:marTop w:val="0"/>
      <w:marBottom w:val="0"/>
      <w:divBdr>
        <w:top w:val="none" w:sz="0" w:space="0" w:color="auto"/>
        <w:left w:val="none" w:sz="0" w:space="0" w:color="auto"/>
        <w:bottom w:val="none" w:sz="0" w:space="0" w:color="auto"/>
        <w:right w:val="none" w:sz="0" w:space="0" w:color="auto"/>
      </w:divBdr>
    </w:div>
    <w:div w:id="1916163909">
      <w:bodyDiv w:val="1"/>
      <w:marLeft w:val="0"/>
      <w:marRight w:val="0"/>
      <w:marTop w:val="0"/>
      <w:marBottom w:val="0"/>
      <w:divBdr>
        <w:top w:val="none" w:sz="0" w:space="0" w:color="auto"/>
        <w:left w:val="none" w:sz="0" w:space="0" w:color="auto"/>
        <w:bottom w:val="none" w:sz="0" w:space="0" w:color="auto"/>
        <w:right w:val="none" w:sz="0" w:space="0" w:color="auto"/>
      </w:divBdr>
    </w:div>
    <w:div w:id="1923373000">
      <w:bodyDiv w:val="1"/>
      <w:marLeft w:val="0"/>
      <w:marRight w:val="0"/>
      <w:marTop w:val="0"/>
      <w:marBottom w:val="0"/>
      <w:divBdr>
        <w:top w:val="none" w:sz="0" w:space="0" w:color="auto"/>
        <w:left w:val="none" w:sz="0" w:space="0" w:color="auto"/>
        <w:bottom w:val="none" w:sz="0" w:space="0" w:color="auto"/>
        <w:right w:val="none" w:sz="0" w:space="0" w:color="auto"/>
      </w:divBdr>
    </w:div>
    <w:div w:id="1937863081">
      <w:bodyDiv w:val="1"/>
      <w:marLeft w:val="0"/>
      <w:marRight w:val="0"/>
      <w:marTop w:val="0"/>
      <w:marBottom w:val="0"/>
      <w:divBdr>
        <w:top w:val="none" w:sz="0" w:space="0" w:color="auto"/>
        <w:left w:val="none" w:sz="0" w:space="0" w:color="auto"/>
        <w:bottom w:val="none" w:sz="0" w:space="0" w:color="auto"/>
        <w:right w:val="none" w:sz="0" w:space="0" w:color="auto"/>
      </w:divBdr>
    </w:div>
    <w:div w:id="1942297123">
      <w:bodyDiv w:val="1"/>
      <w:marLeft w:val="0"/>
      <w:marRight w:val="0"/>
      <w:marTop w:val="0"/>
      <w:marBottom w:val="0"/>
      <w:divBdr>
        <w:top w:val="none" w:sz="0" w:space="0" w:color="auto"/>
        <w:left w:val="none" w:sz="0" w:space="0" w:color="auto"/>
        <w:bottom w:val="none" w:sz="0" w:space="0" w:color="auto"/>
        <w:right w:val="none" w:sz="0" w:space="0" w:color="auto"/>
      </w:divBdr>
    </w:div>
    <w:div w:id="1947038329">
      <w:bodyDiv w:val="1"/>
      <w:marLeft w:val="0"/>
      <w:marRight w:val="0"/>
      <w:marTop w:val="0"/>
      <w:marBottom w:val="0"/>
      <w:divBdr>
        <w:top w:val="none" w:sz="0" w:space="0" w:color="auto"/>
        <w:left w:val="none" w:sz="0" w:space="0" w:color="auto"/>
        <w:bottom w:val="none" w:sz="0" w:space="0" w:color="auto"/>
        <w:right w:val="none" w:sz="0" w:space="0" w:color="auto"/>
      </w:divBdr>
    </w:div>
    <w:div w:id="1957979469">
      <w:bodyDiv w:val="1"/>
      <w:marLeft w:val="0"/>
      <w:marRight w:val="0"/>
      <w:marTop w:val="0"/>
      <w:marBottom w:val="0"/>
      <w:divBdr>
        <w:top w:val="none" w:sz="0" w:space="0" w:color="auto"/>
        <w:left w:val="none" w:sz="0" w:space="0" w:color="auto"/>
        <w:bottom w:val="none" w:sz="0" w:space="0" w:color="auto"/>
        <w:right w:val="none" w:sz="0" w:space="0" w:color="auto"/>
      </w:divBdr>
    </w:div>
    <w:div w:id="1958412842">
      <w:bodyDiv w:val="1"/>
      <w:marLeft w:val="0"/>
      <w:marRight w:val="0"/>
      <w:marTop w:val="0"/>
      <w:marBottom w:val="0"/>
      <w:divBdr>
        <w:top w:val="none" w:sz="0" w:space="0" w:color="auto"/>
        <w:left w:val="none" w:sz="0" w:space="0" w:color="auto"/>
        <w:bottom w:val="none" w:sz="0" w:space="0" w:color="auto"/>
        <w:right w:val="none" w:sz="0" w:space="0" w:color="auto"/>
      </w:divBdr>
    </w:div>
    <w:div w:id="1963461085">
      <w:bodyDiv w:val="1"/>
      <w:marLeft w:val="0"/>
      <w:marRight w:val="0"/>
      <w:marTop w:val="0"/>
      <w:marBottom w:val="0"/>
      <w:divBdr>
        <w:top w:val="none" w:sz="0" w:space="0" w:color="auto"/>
        <w:left w:val="none" w:sz="0" w:space="0" w:color="auto"/>
        <w:bottom w:val="none" w:sz="0" w:space="0" w:color="auto"/>
        <w:right w:val="none" w:sz="0" w:space="0" w:color="auto"/>
      </w:divBdr>
    </w:div>
    <w:div w:id="1963800198">
      <w:bodyDiv w:val="1"/>
      <w:marLeft w:val="0"/>
      <w:marRight w:val="0"/>
      <w:marTop w:val="0"/>
      <w:marBottom w:val="0"/>
      <w:divBdr>
        <w:top w:val="none" w:sz="0" w:space="0" w:color="auto"/>
        <w:left w:val="none" w:sz="0" w:space="0" w:color="auto"/>
        <w:bottom w:val="none" w:sz="0" w:space="0" w:color="auto"/>
        <w:right w:val="none" w:sz="0" w:space="0" w:color="auto"/>
      </w:divBdr>
    </w:div>
    <w:div w:id="1968273378">
      <w:bodyDiv w:val="1"/>
      <w:marLeft w:val="0"/>
      <w:marRight w:val="0"/>
      <w:marTop w:val="0"/>
      <w:marBottom w:val="0"/>
      <w:divBdr>
        <w:top w:val="none" w:sz="0" w:space="0" w:color="auto"/>
        <w:left w:val="none" w:sz="0" w:space="0" w:color="auto"/>
        <w:bottom w:val="none" w:sz="0" w:space="0" w:color="auto"/>
        <w:right w:val="none" w:sz="0" w:space="0" w:color="auto"/>
      </w:divBdr>
    </w:div>
    <w:div w:id="1973828350">
      <w:bodyDiv w:val="1"/>
      <w:marLeft w:val="0"/>
      <w:marRight w:val="0"/>
      <w:marTop w:val="0"/>
      <w:marBottom w:val="0"/>
      <w:divBdr>
        <w:top w:val="none" w:sz="0" w:space="0" w:color="auto"/>
        <w:left w:val="none" w:sz="0" w:space="0" w:color="auto"/>
        <w:bottom w:val="none" w:sz="0" w:space="0" w:color="auto"/>
        <w:right w:val="none" w:sz="0" w:space="0" w:color="auto"/>
      </w:divBdr>
    </w:div>
    <w:div w:id="1982417514">
      <w:bodyDiv w:val="1"/>
      <w:marLeft w:val="0"/>
      <w:marRight w:val="0"/>
      <w:marTop w:val="0"/>
      <w:marBottom w:val="0"/>
      <w:divBdr>
        <w:top w:val="none" w:sz="0" w:space="0" w:color="auto"/>
        <w:left w:val="none" w:sz="0" w:space="0" w:color="auto"/>
        <w:bottom w:val="none" w:sz="0" w:space="0" w:color="auto"/>
        <w:right w:val="none" w:sz="0" w:space="0" w:color="auto"/>
      </w:divBdr>
    </w:div>
    <w:div w:id="1983000638">
      <w:bodyDiv w:val="1"/>
      <w:marLeft w:val="0"/>
      <w:marRight w:val="0"/>
      <w:marTop w:val="0"/>
      <w:marBottom w:val="0"/>
      <w:divBdr>
        <w:top w:val="none" w:sz="0" w:space="0" w:color="auto"/>
        <w:left w:val="none" w:sz="0" w:space="0" w:color="auto"/>
        <w:bottom w:val="none" w:sz="0" w:space="0" w:color="auto"/>
        <w:right w:val="none" w:sz="0" w:space="0" w:color="auto"/>
      </w:divBdr>
    </w:div>
    <w:div w:id="1985236949">
      <w:bodyDiv w:val="1"/>
      <w:marLeft w:val="0"/>
      <w:marRight w:val="0"/>
      <w:marTop w:val="0"/>
      <w:marBottom w:val="0"/>
      <w:divBdr>
        <w:top w:val="none" w:sz="0" w:space="0" w:color="auto"/>
        <w:left w:val="none" w:sz="0" w:space="0" w:color="auto"/>
        <w:bottom w:val="none" w:sz="0" w:space="0" w:color="auto"/>
        <w:right w:val="none" w:sz="0" w:space="0" w:color="auto"/>
      </w:divBdr>
    </w:div>
    <w:div w:id="1985347694">
      <w:bodyDiv w:val="1"/>
      <w:marLeft w:val="0"/>
      <w:marRight w:val="0"/>
      <w:marTop w:val="0"/>
      <w:marBottom w:val="0"/>
      <w:divBdr>
        <w:top w:val="none" w:sz="0" w:space="0" w:color="auto"/>
        <w:left w:val="none" w:sz="0" w:space="0" w:color="auto"/>
        <w:bottom w:val="none" w:sz="0" w:space="0" w:color="auto"/>
        <w:right w:val="none" w:sz="0" w:space="0" w:color="auto"/>
      </w:divBdr>
    </w:div>
    <w:div w:id="1985425294">
      <w:bodyDiv w:val="1"/>
      <w:marLeft w:val="0"/>
      <w:marRight w:val="0"/>
      <w:marTop w:val="0"/>
      <w:marBottom w:val="0"/>
      <w:divBdr>
        <w:top w:val="none" w:sz="0" w:space="0" w:color="auto"/>
        <w:left w:val="none" w:sz="0" w:space="0" w:color="auto"/>
        <w:bottom w:val="none" w:sz="0" w:space="0" w:color="auto"/>
        <w:right w:val="none" w:sz="0" w:space="0" w:color="auto"/>
      </w:divBdr>
    </w:div>
    <w:div w:id="1985429720">
      <w:bodyDiv w:val="1"/>
      <w:marLeft w:val="0"/>
      <w:marRight w:val="0"/>
      <w:marTop w:val="0"/>
      <w:marBottom w:val="0"/>
      <w:divBdr>
        <w:top w:val="none" w:sz="0" w:space="0" w:color="auto"/>
        <w:left w:val="none" w:sz="0" w:space="0" w:color="auto"/>
        <w:bottom w:val="none" w:sz="0" w:space="0" w:color="auto"/>
        <w:right w:val="none" w:sz="0" w:space="0" w:color="auto"/>
      </w:divBdr>
    </w:div>
    <w:div w:id="1992363187">
      <w:bodyDiv w:val="1"/>
      <w:marLeft w:val="0"/>
      <w:marRight w:val="0"/>
      <w:marTop w:val="0"/>
      <w:marBottom w:val="0"/>
      <w:divBdr>
        <w:top w:val="none" w:sz="0" w:space="0" w:color="auto"/>
        <w:left w:val="none" w:sz="0" w:space="0" w:color="auto"/>
        <w:bottom w:val="none" w:sz="0" w:space="0" w:color="auto"/>
        <w:right w:val="none" w:sz="0" w:space="0" w:color="auto"/>
      </w:divBdr>
    </w:div>
    <w:div w:id="2007661604">
      <w:bodyDiv w:val="1"/>
      <w:marLeft w:val="0"/>
      <w:marRight w:val="0"/>
      <w:marTop w:val="0"/>
      <w:marBottom w:val="0"/>
      <w:divBdr>
        <w:top w:val="none" w:sz="0" w:space="0" w:color="auto"/>
        <w:left w:val="none" w:sz="0" w:space="0" w:color="auto"/>
        <w:bottom w:val="none" w:sz="0" w:space="0" w:color="auto"/>
        <w:right w:val="none" w:sz="0" w:space="0" w:color="auto"/>
      </w:divBdr>
    </w:div>
    <w:div w:id="2011171891">
      <w:bodyDiv w:val="1"/>
      <w:marLeft w:val="0"/>
      <w:marRight w:val="0"/>
      <w:marTop w:val="0"/>
      <w:marBottom w:val="0"/>
      <w:divBdr>
        <w:top w:val="none" w:sz="0" w:space="0" w:color="auto"/>
        <w:left w:val="none" w:sz="0" w:space="0" w:color="auto"/>
        <w:bottom w:val="none" w:sz="0" w:space="0" w:color="auto"/>
        <w:right w:val="none" w:sz="0" w:space="0" w:color="auto"/>
      </w:divBdr>
    </w:div>
    <w:div w:id="2015447723">
      <w:bodyDiv w:val="1"/>
      <w:marLeft w:val="0"/>
      <w:marRight w:val="0"/>
      <w:marTop w:val="0"/>
      <w:marBottom w:val="0"/>
      <w:divBdr>
        <w:top w:val="none" w:sz="0" w:space="0" w:color="auto"/>
        <w:left w:val="none" w:sz="0" w:space="0" w:color="auto"/>
        <w:bottom w:val="none" w:sz="0" w:space="0" w:color="auto"/>
        <w:right w:val="none" w:sz="0" w:space="0" w:color="auto"/>
      </w:divBdr>
    </w:div>
    <w:div w:id="2019304771">
      <w:bodyDiv w:val="1"/>
      <w:marLeft w:val="0"/>
      <w:marRight w:val="0"/>
      <w:marTop w:val="0"/>
      <w:marBottom w:val="0"/>
      <w:divBdr>
        <w:top w:val="none" w:sz="0" w:space="0" w:color="auto"/>
        <w:left w:val="none" w:sz="0" w:space="0" w:color="auto"/>
        <w:bottom w:val="none" w:sz="0" w:space="0" w:color="auto"/>
        <w:right w:val="none" w:sz="0" w:space="0" w:color="auto"/>
      </w:divBdr>
    </w:div>
    <w:div w:id="2047825493">
      <w:bodyDiv w:val="1"/>
      <w:marLeft w:val="0"/>
      <w:marRight w:val="0"/>
      <w:marTop w:val="0"/>
      <w:marBottom w:val="0"/>
      <w:divBdr>
        <w:top w:val="none" w:sz="0" w:space="0" w:color="auto"/>
        <w:left w:val="none" w:sz="0" w:space="0" w:color="auto"/>
        <w:bottom w:val="none" w:sz="0" w:space="0" w:color="auto"/>
        <w:right w:val="none" w:sz="0" w:space="0" w:color="auto"/>
      </w:divBdr>
    </w:div>
    <w:div w:id="2050838607">
      <w:bodyDiv w:val="1"/>
      <w:marLeft w:val="0"/>
      <w:marRight w:val="0"/>
      <w:marTop w:val="0"/>
      <w:marBottom w:val="0"/>
      <w:divBdr>
        <w:top w:val="none" w:sz="0" w:space="0" w:color="auto"/>
        <w:left w:val="none" w:sz="0" w:space="0" w:color="auto"/>
        <w:bottom w:val="none" w:sz="0" w:space="0" w:color="auto"/>
        <w:right w:val="none" w:sz="0" w:space="0" w:color="auto"/>
      </w:divBdr>
    </w:div>
    <w:div w:id="2050954200">
      <w:bodyDiv w:val="1"/>
      <w:marLeft w:val="0"/>
      <w:marRight w:val="0"/>
      <w:marTop w:val="0"/>
      <w:marBottom w:val="0"/>
      <w:divBdr>
        <w:top w:val="none" w:sz="0" w:space="0" w:color="auto"/>
        <w:left w:val="none" w:sz="0" w:space="0" w:color="auto"/>
        <w:bottom w:val="none" w:sz="0" w:space="0" w:color="auto"/>
        <w:right w:val="none" w:sz="0" w:space="0" w:color="auto"/>
      </w:divBdr>
    </w:div>
    <w:div w:id="2055538803">
      <w:bodyDiv w:val="1"/>
      <w:marLeft w:val="0"/>
      <w:marRight w:val="0"/>
      <w:marTop w:val="0"/>
      <w:marBottom w:val="0"/>
      <w:divBdr>
        <w:top w:val="none" w:sz="0" w:space="0" w:color="auto"/>
        <w:left w:val="none" w:sz="0" w:space="0" w:color="auto"/>
        <w:bottom w:val="none" w:sz="0" w:space="0" w:color="auto"/>
        <w:right w:val="none" w:sz="0" w:space="0" w:color="auto"/>
      </w:divBdr>
    </w:div>
    <w:div w:id="2063478453">
      <w:bodyDiv w:val="1"/>
      <w:marLeft w:val="0"/>
      <w:marRight w:val="0"/>
      <w:marTop w:val="0"/>
      <w:marBottom w:val="0"/>
      <w:divBdr>
        <w:top w:val="none" w:sz="0" w:space="0" w:color="auto"/>
        <w:left w:val="none" w:sz="0" w:space="0" w:color="auto"/>
        <w:bottom w:val="none" w:sz="0" w:space="0" w:color="auto"/>
        <w:right w:val="none" w:sz="0" w:space="0" w:color="auto"/>
      </w:divBdr>
    </w:div>
    <w:div w:id="2075859431">
      <w:bodyDiv w:val="1"/>
      <w:marLeft w:val="0"/>
      <w:marRight w:val="0"/>
      <w:marTop w:val="0"/>
      <w:marBottom w:val="0"/>
      <w:divBdr>
        <w:top w:val="none" w:sz="0" w:space="0" w:color="auto"/>
        <w:left w:val="none" w:sz="0" w:space="0" w:color="auto"/>
        <w:bottom w:val="none" w:sz="0" w:space="0" w:color="auto"/>
        <w:right w:val="none" w:sz="0" w:space="0" w:color="auto"/>
      </w:divBdr>
    </w:div>
    <w:div w:id="2084988706">
      <w:bodyDiv w:val="1"/>
      <w:marLeft w:val="0"/>
      <w:marRight w:val="0"/>
      <w:marTop w:val="0"/>
      <w:marBottom w:val="0"/>
      <w:divBdr>
        <w:top w:val="none" w:sz="0" w:space="0" w:color="auto"/>
        <w:left w:val="none" w:sz="0" w:space="0" w:color="auto"/>
        <w:bottom w:val="none" w:sz="0" w:space="0" w:color="auto"/>
        <w:right w:val="none" w:sz="0" w:space="0" w:color="auto"/>
      </w:divBdr>
    </w:div>
    <w:div w:id="2091654670">
      <w:bodyDiv w:val="1"/>
      <w:marLeft w:val="0"/>
      <w:marRight w:val="0"/>
      <w:marTop w:val="0"/>
      <w:marBottom w:val="0"/>
      <w:divBdr>
        <w:top w:val="none" w:sz="0" w:space="0" w:color="auto"/>
        <w:left w:val="none" w:sz="0" w:space="0" w:color="auto"/>
        <w:bottom w:val="none" w:sz="0" w:space="0" w:color="auto"/>
        <w:right w:val="none" w:sz="0" w:space="0" w:color="auto"/>
      </w:divBdr>
    </w:div>
    <w:div w:id="2108846190">
      <w:bodyDiv w:val="1"/>
      <w:marLeft w:val="0"/>
      <w:marRight w:val="0"/>
      <w:marTop w:val="0"/>
      <w:marBottom w:val="0"/>
      <w:divBdr>
        <w:top w:val="none" w:sz="0" w:space="0" w:color="auto"/>
        <w:left w:val="none" w:sz="0" w:space="0" w:color="auto"/>
        <w:bottom w:val="none" w:sz="0" w:space="0" w:color="auto"/>
        <w:right w:val="none" w:sz="0" w:space="0" w:color="auto"/>
      </w:divBdr>
    </w:div>
    <w:div w:id="2113549758">
      <w:bodyDiv w:val="1"/>
      <w:marLeft w:val="0"/>
      <w:marRight w:val="0"/>
      <w:marTop w:val="0"/>
      <w:marBottom w:val="0"/>
      <w:divBdr>
        <w:top w:val="none" w:sz="0" w:space="0" w:color="auto"/>
        <w:left w:val="none" w:sz="0" w:space="0" w:color="auto"/>
        <w:bottom w:val="none" w:sz="0" w:space="0" w:color="auto"/>
        <w:right w:val="none" w:sz="0" w:space="0" w:color="auto"/>
      </w:divBdr>
    </w:div>
    <w:div w:id="2114393807">
      <w:bodyDiv w:val="1"/>
      <w:marLeft w:val="0"/>
      <w:marRight w:val="0"/>
      <w:marTop w:val="0"/>
      <w:marBottom w:val="0"/>
      <w:divBdr>
        <w:top w:val="none" w:sz="0" w:space="0" w:color="auto"/>
        <w:left w:val="none" w:sz="0" w:space="0" w:color="auto"/>
        <w:bottom w:val="none" w:sz="0" w:space="0" w:color="auto"/>
        <w:right w:val="none" w:sz="0" w:space="0" w:color="auto"/>
      </w:divBdr>
    </w:div>
    <w:div w:id="212830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rguidelines.ndis.gov.au/" TargetMode="External"/><Relationship Id="rId18" Type="http://schemas.openxmlformats.org/officeDocument/2006/relationships/hyperlink" Target="https://www.ndis.gov.au/providers/housing-and-living-supports-and-services" TargetMode="External"/><Relationship Id="rId3" Type="http://schemas.openxmlformats.org/officeDocument/2006/relationships/customXml" Target="../customXml/item3.xml"/><Relationship Id="rId21" Type="http://schemas.openxmlformats.org/officeDocument/2006/relationships/hyperlink" Target="https://victimsandwitnesses.cdpp.gov.au/" TargetMode="External"/><Relationship Id="rId7" Type="http://schemas.openxmlformats.org/officeDocument/2006/relationships/settings" Target="settings.xml"/><Relationship Id="rId12" Type="http://schemas.openxmlformats.org/officeDocument/2006/relationships/hyperlink" Target="https://www.ndis.gov.au/community/we-listened/improving-support-coordination-participants" TargetMode="External"/><Relationship Id="rId17" Type="http://schemas.openxmlformats.org/officeDocument/2006/relationships/hyperlink" Target="https://bullyingnoway.gov.au/preventing-bullying/national-day-of-action-against-bullying-and-violence" TargetMode="External"/><Relationship Id="rId2" Type="http://schemas.openxmlformats.org/officeDocument/2006/relationships/customXml" Target="../customXml/item2.xml"/><Relationship Id="rId16" Type="http://schemas.openxmlformats.org/officeDocument/2006/relationships/hyperlink" Target="https://bullyingnoway.gov.au/" TargetMode="External"/><Relationship Id="rId20" Type="http://schemas.openxmlformats.org/officeDocument/2006/relationships/hyperlink" Target="file:///C:/Users/ls0096/AppData/Local/Microsoft/Windows/INetCache/Content.Outlook/CYBE7HVY/Senate%20Committee%20Autism%20Final%20Report%20March%202022%20(00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gov.au/disability-standards-education-2005/2020-review-disability-standards-education-2005/final-repor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ctimsandwitnesses.cdpp.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understanding/families-and-car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27A42199FF4714D92E2F4DBD7B21208" ma:contentTypeVersion="" ma:contentTypeDescription="PDMS Document Site Content Type" ma:contentTypeScope="" ma:versionID="a02f58203de76d3f1e794fd56f8e82af">
  <xsd:schema xmlns:xsd="http://www.w3.org/2001/XMLSchema" xmlns:xs="http://www.w3.org/2001/XMLSchema" xmlns:p="http://schemas.microsoft.com/office/2006/metadata/properties" xmlns:ns2="577BFDF2-2DF3-49A6-B3A0-FBE83E702993" targetNamespace="http://schemas.microsoft.com/office/2006/metadata/properties" ma:root="true" ma:fieldsID="397c016cb0a61d6356e4586641b0bba5" ns2:_="">
    <xsd:import namespace="577BFDF2-2DF3-49A6-B3A0-FBE83E70299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FDF2-2DF3-49A6-B3A0-FBE83E70299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77BFDF2-2DF3-49A6-B3A0-FBE83E7029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21CC1-A16C-44B8-8D9E-0FA03D113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BFDF2-2DF3-49A6-B3A0-FBE83E702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2325E-3071-46B8-B886-27A85734C535}">
  <ds:schemaRefs>
    <ds:schemaRef ds:uri="http://schemas.microsoft.com/sharepoint/v3/contenttype/forms"/>
  </ds:schemaRefs>
</ds:datastoreItem>
</file>

<file path=customXml/itemProps3.xml><?xml version="1.0" encoding="utf-8"?>
<ds:datastoreItem xmlns:ds="http://schemas.openxmlformats.org/officeDocument/2006/customXml" ds:itemID="{B88BDDE6-5D41-4767-BC2E-D7BB6539D6F5}">
  <ds:schemaRefs>
    <ds:schemaRef ds:uri="577BFDF2-2DF3-49A6-B3A0-FBE83E70299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B616536-0B60-4DDE-9738-32E591E9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57</Pages>
  <Words>21081</Words>
  <Characters>127136</Characters>
  <Application>Microsoft Office Word</Application>
  <DocSecurity>0</DocSecurity>
  <Lines>2276</Lines>
  <Paragraphs>776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147813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Tim</dc:creator>
  <cp:keywords>[SEC=OFFICIAL]</cp:keywords>
  <dc:description/>
  <cp:lastModifiedBy>WARNER, Angela</cp:lastModifiedBy>
  <cp:revision>125</cp:revision>
  <cp:lastPrinted>2022-12-02T05:46:00Z</cp:lastPrinted>
  <dcterms:created xsi:type="dcterms:W3CDTF">2022-11-25T05:14:00Z</dcterms:created>
  <dcterms:modified xsi:type="dcterms:W3CDTF">2022-12-02T05:48:00Z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1;#UNCLASSIFIED|9c49a7c7-17c7-412f-8077-62dec89b9196</vt:lpwstr>
  </property>
  <property fmtid="{D5CDD505-2E9C-101B-9397-08002B2CF9AE}" pid="3" name="ContentTypeId">
    <vt:lpwstr>0x010100266966F133664895A6EE3632470D45F500527A42199FF4714D92E2F4DBD7B21208</vt:lpwstr>
  </property>
  <property fmtid="{D5CDD505-2E9C-101B-9397-08002B2CF9AE}" pid="4" name="ESearchTags">
    <vt:lpwstr/>
  </property>
  <property fmtid="{D5CDD505-2E9C-101B-9397-08002B2CF9AE}" pid="5" name="PMC.ESearch.TagGeneratedTime">
    <vt:lpwstr>2019-06-04T13:52:36</vt:lpwstr>
  </property>
  <property fmtid="{D5CDD505-2E9C-101B-9397-08002B2CF9AE}" pid="6" name="HPRMSecurityCaveat">
    <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5CAB4338224B4AFF9CD1B7F21A0BD11F</vt:lpwstr>
  </property>
  <property fmtid="{D5CDD505-2E9C-101B-9397-08002B2CF9AE}" pid="14" name="PM_ProtectiveMarkingValue_Footer">
    <vt:lpwstr>OFFICIAL</vt:lpwstr>
  </property>
  <property fmtid="{D5CDD505-2E9C-101B-9397-08002B2CF9AE}" pid="15" name="PM_Originator_Hash_SHA1">
    <vt:lpwstr>3937B868910185479A4511A32F0F5E22626BA1ED</vt:lpwstr>
  </property>
  <property fmtid="{D5CDD505-2E9C-101B-9397-08002B2CF9AE}" pid="16" name="PM_OriginationTimeStamp">
    <vt:lpwstr>2022-12-02T05:48:55Z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2BC9EA0934BCD1AA23AD2B0013F94968</vt:lpwstr>
  </property>
  <property fmtid="{D5CDD505-2E9C-101B-9397-08002B2CF9AE}" pid="25" name="PM_Hash_Salt">
    <vt:lpwstr>202F32CE18871B24AC46A5A97970AE15</vt:lpwstr>
  </property>
  <property fmtid="{D5CDD505-2E9C-101B-9397-08002B2CF9AE}" pid="26" name="PM_Hash_SHA1">
    <vt:lpwstr>04A1CEF4F3EAD74DB5FF97073DB471104ACD1C3E</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_OriginatorUserAccountName_SHA256">
    <vt:lpwstr>AEAB3C58B2D00963C4C26F9C6070562AB704CAB50CE822CFAA3AE6B4535199DD</vt:lpwstr>
  </property>
  <property fmtid="{D5CDD505-2E9C-101B-9397-08002B2CF9AE}" pid="31" name="PM_OriginatorDomainName_SHA256">
    <vt:lpwstr>E83A2A66C4061446A7E3732E8D44762184B6B377D962B96C83DC624302585857</vt:lpwstr>
  </property>
  <property fmtid="{D5CDD505-2E9C-101B-9397-08002B2CF9AE}" pid="32" name="ClearanceDueDate">
    <vt:lpwstr>21 June 2022</vt:lpwstr>
  </property>
  <property fmtid="{D5CDD505-2E9C-101B-9397-08002B2CF9AE}" pid="33" name="InitiatorTitle">
    <vt:lpwstr/>
  </property>
  <property fmtid="{D5CDD505-2E9C-101B-9397-08002B2CF9AE}" pid="34" name="Electorates">
    <vt:lpwstr> </vt:lpwstr>
  </property>
  <property fmtid="{D5CDD505-2E9C-101B-9397-08002B2CF9AE}" pid="35" name="ReasonForSensitivity">
    <vt:lpwstr/>
  </property>
  <property fmtid="{D5CDD505-2E9C-101B-9397-08002B2CF9AE}" pid="36" name="ContactOfficer">
    <vt:lpwstr/>
  </property>
  <property fmtid="{D5CDD505-2E9C-101B-9397-08002B2CF9AE}" pid="37" name="InitiatorOrganisationWebsite">
    <vt:lpwstr/>
  </property>
  <property fmtid="{D5CDD505-2E9C-101B-9397-08002B2CF9AE}" pid="38" name="InitiatorSuburbOrCity">
    <vt:lpwstr/>
  </property>
  <property fmtid="{D5CDD505-2E9C-101B-9397-08002B2CF9AE}" pid="39" name="InitiatorOnBehalfVia">
    <vt:lpwstr/>
  </property>
  <property fmtid="{D5CDD505-2E9C-101B-9397-08002B2CF9AE}" pid="40" name="DateFirstSentToMO">
    <vt:lpwstr/>
  </property>
  <property fmtid="{D5CDD505-2E9C-101B-9397-08002B2CF9AE}" pid="41" name="SignedDate">
    <vt:lpwstr/>
  </property>
  <property fmtid="{D5CDD505-2E9C-101B-9397-08002B2CF9AE}" pid="42" name="Ministers">
    <vt:lpwstr>Amanda Rishworth</vt:lpwstr>
  </property>
  <property fmtid="{D5CDD505-2E9C-101B-9397-08002B2CF9AE}" pid="43" name="InitiatorAddressLine1">
    <vt:lpwstr/>
  </property>
  <property fmtid="{D5CDD505-2E9C-101B-9397-08002B2CF9AE}" pid="44" name="InitiatorPhone">
    <vt:lpwstr/>
  </property>
  <property fmtid="{D5CDD505-2E9C-101B-9397-08002B2CF9AE}" pid="45" name="InitiatorName">
    <vt:lpwstr/>
  </property>
  <property fmtid="{D5CDD505-2E9C-101B-9397-08002B2CF9AE}" pid="46" name="MOActionActualDate">
    <vt:lpwstr/>
  </property>
  <property fmtid="{D5CDD505-2E9C-101B-9397-08002B2CF9AE}" pid="47" name="InitiatorOrganisationType">
    <vt:lpwstr/>
  </property>
  <property fmtid="{D5CDD505-2E9C-101B-9397-08002B2CF9AE}" pid="48" name="PdrId">
    <vt:lpwstr>MS22-000435</vt:lpwstr>
  </property>
  <property fmtid="{D5CDD505-2E9C-101B-9397-08002B2CF9AE}" pid="49" name="InitiatorState">
    <vt:lpwstr/>
  </property>
  <property fmtid="{D5CDD505-2E9C-101B-9397-08002B2CF9AE}" pid="50" name="InitiatorContactDate">
    <vt:lpwstr/>
  </property>
  <property fmtid="{D5CDD505-2E9C-101B-9397-08002B2CF9AE}" pid="51" name="InitiatorFormalTitle">
    <vt:lpwstr/>
  </property>
  <property fmtid="{D5CDD505-2E9C-101B-9397-08002B2CF9AE}" pid="52" name="DateSentToMO">
    <vt:lpwstr/>
  </property>
  <property fmtid="{D5CDD505-2E9C-101B-9397-08002B2CF9AE}" pid="53" name="HandlingProtocol">
    <vt:lpwstr>Standard</vt:lpwstr>
  </property>
  <property fmtid="{D5CDD505-2E9C-101B-9397-08002B2CF9AE}" pid="54" name="InitiatorAddressLine1And2">
    <vt:lpwstr/>
  </property>
  <property fmtid="{D5CDD505-2E9C-101B-9397-08002B2CF9AE}" pid="55" name="InitiatorAddressLine2">
    <vt:lpwstr/>
  </property>
  <property fmtid="{D5CDD505-2E9C-101B-9397-08002B2CF9AE}" pid="56" name="GroupResponsible">
    <vt:lpwstr>Disability Strategy</vt:lpwstr>
  </property>
  <property fmtid="{D5CDD505-2E9C-101B-9397-08002B2CF9AE}" pid="57" name="TaskSeqNo">
    <vt:lpwstr>0</vt:lpwstr>
  </property>
  <property fmtid="{D5CDD505-2E9C-101B-9397-08002B2CF9AE}" pid="58" name="InitiatorSuburbStatePostcode">
    <vt:lpwstr/>
  </property>
  <property fmtid="{D5CDD505-2E9C-101B-9397-08002B2CF9AE}" pid="59" name="TemplateType">
    <vt:lpwstr>Parliamentary Committees</vt:lpwstr>
  </property>
  <property fmtid="{D5CDD505-2E9C-101B-9397-08002B2CF9AE}" pid="60" name="FahcsiaKeywords">
    <vt:lpwstr/>
  </property>
  <property fmtid="{D5CDD505-2E9C-101B-9397-08002B2CF9AE}" pid="61" name="InitiatorMPState">
    <vt:lpwstr/>
  </property>
  <property fmtid="{D5CDD505-2E9C-101B-9397-08002B2CF9AE}" pid="62" name="RequestedAction">
    <vt:lpwstr>ACTION</vt:lpwstr>
  </property>
  <property fmtid="{D5CDD505-2E9C-101B-9397-08002B2CF9AE}" pid="63" name="InitiatorPostNominal">
    <vt:lpwstr/>
  </property>
  <property fmtid="{D5CDD505-2E9C-101B-9397-08002B2CF9AE}" pid="64" name="InitiatorFullName">
    <vt:lpwstr/>
  </property>
  <property fmtid="{D5CDD505-2E9C-101B-9397-08002B2CF9AE}" pid="65" name="AdditionalSecurityInformation">
    <vt:lpwstr/>
  </property>
  <property fmtid="{D5CDD505-2E9C-101B-9397-08002B2CF9AE}" pid="66" name="InformationMinister">
    <vt:lpwstr> </vt:lpwstr>
  </property>
  <property fmtid="{D5CDD505-2E9C-101B-9397-08002B2CF9AE}" pid="67" name="ResponsibleMinister">
    <vt:lpwstr>Amanda Rishworth</vt:lpwstr>
  </property>
  <property fmtid="{D5CDD505-2E9C-101B-9397-08002B2CF9AE}" pid="68" name="InitiatorFirstName">
    <vt:lpwstr/>
  </property>
  <property fmtid="{D5CDD505-2E9C-101B-9397-08002B2CF9AE}" pid="69" name="InitiatorMPElectorate">
    <vt:lpwstr/>
  </property>
  <property fmtid="{D5CDD505-2E9C-101B-9397-08002B2CF9AE}" pid="70" name="InitiatorOrganisation">
    <vt:lpwstr/>
  </property>
  <property fmtid="{D5CDD505-2E9C-101B-9397-08002B2CF9AE}" pid="71" name="InitiatorTitledFullName">
    <vt:lpwstr/>
  </property>
  <property fmtid="{D5CDD505-2E9C-101B-9397-08002B2CF9AE}" pid="72" name="ContactOfficerPhone">
    <vt:lpwstr/>
  </property>
  <property fmtid="{D5CDD505-2E9C-101B-9397-08002B2CF9AE}" pid="73" name="InitiatorParliamentaryTitle">
    <vt:lpwstr/>
  </property>
  <property fmtid="{D5CDD505-2E9C-101B-9397-08002B2CF9AE}" pid="74" name="InitiatorPostCode">
    <vt:lpwstr/>
  </property>
  <property fmtid="{D5CDD505-2E9C-101B-9397-08002B2CF9AE}" pid="75" name="InitiatorEmail">
    <vt:lpwstr/>
  </property>
  <property fmtid="{D5CDD505-2E9C-101B-9397-08002B2CF9AE}" pid="76" name="InitiatorMobile">
    <vt:lpwstr/>
  </property>
  <property fmtid="{D5CDD505-2E9C-101B-9397-08002B2CF9AE}" pid="77" name="PM_MinimumSecurityClassification">
    <vt:lpwstr/>
  </property>
  <property fmtid="{D5CDD505-2E9C-101B-9397-08002B2CF9AE}" pid="78" name="TrustedGroups">
    <vt:lpwstr>Parliamentary Coordinator MS, DLO, Ministerial Staff - Labor 2022, Business Administrator, Limited Distribution MS</vt:lpwstr>
  </property>
  <property fmtid="{D5CDD505-2E9C-101B-9397-08002B2CF9AE}" pid="79" name="RegisteredDate">
    <vt:lpwstr>07 June 2022</vt:lpwstr>
  </property>
  <property fmtid="{D5CDD505-2E9C-101B-9397-08002B2CF9AE}" pid="80" name="InitiatorLastName">
    <vt:lpwstr/>
  </property>
  <property fmtid="{D5CDD505-2E9C-101B-9397-08002B2CF9AE}" pid="81" name="InitiatorOrganisationContactInformation">
    <vt:lpwstr/>
  </property>
  <property fmtid="{D5CDD505-2E9C-101B-9397-08002B2CF9AE}" pid="82" name="InitiatorCountry">
    <vt:lpwstr/>
  </property>
  <property fmtid="{D5CDD505-2E9C-101B-9397-08002B2CF9AE}" pid="83" name="InitiatorFax">
    <vt:lpwstr/>
  </property>
  <property fmtid="{D5CDD505-2E9C-101B-9397-08002B2CF9AE}" pid="84" name="InitiatorAddressBlock">
    <vt:lpwstr/>
  </property>
  <property fmtid="{D5CDD505-2E9C-101B-9397-08002B2CF9AE}" pid="85" name="MOActionDueDate">
    <vt:lpwstr>06 July 2022</vt:lpwstr>
  </property>
  <property fmtid="{D5CDD505-2E9C-101B-9397-08002B2CF9AE}" pid="86" name="TemplateSubType">
    <vt:lpwstr>Government Response</vt:lpwstr>
  </property>
  <property fmtid="{D5CDD505-2E9C-101B-9397-08002B2CF9AE}" pid="87" name="Principal">
    <vt:lpwstr>Parliamentary Committees</vt:lpwstr>
  </property>
  <property fmtid="{D5CDD505-2E9C-101B-9397-08002B2CF9AE}" pid="88" name="InitiatorContactName">
    <vt:lpwstr/>
  </property>
  <property fmtid="{D5CDD505-2E9C-101B-9397-08002B2CF9AE}" pid="89" name="InitiatorContactPosition">
    <vt:lpwstr/>
  </property>
  <property fmtid="{D5CDD505-2E9C-101B-9397-08002B2CF9AE}" pid="90" name="FahcsiaGBS">
    <vt:lpwstr/>
  </property>
</Properties>
</file>