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DAA7A" w14:textId="393F4B27" w:rsidR="00C72191" w:rsidRDefault="003C5057" w:rsidP="00E57F7C">
      <w:pPr>
        <w:pStyle w:val="Title"/>
        <w:spacing w:before="80" w:after="0"/>
        <w:ind w:left="-709"/>
        <w:contextualSpacing w:val="0"/>
        <w:rPr>
          <w:sz w:val="56"/>
        </w:rPr>
      </w:pPr>
      <w:r>
        <w:rPr>
          <w:rFonts w:cs="Arial"/>
          <w:noProof/>
          <w:color w:val="FFFFFF"/>
          <w:sz w:val="20"/>
          <w:szCs w:val="20"/>
        </w:rPr>
        <w:drawing>
          <wp:anchor distT="0" distB="0" distL="114300" distR="114300" simplePos="0" relativeHeight="251660288" behindDoc="0" locked="0" layoutInCell="1" allowOverlap="1" wp14:anchorId="46AA0DA6" wp14:editId="5B0F00BA">
            <wp:simplePos x="0" y="0"/>
            <wp:positionH relativeFrom="margin">
              <wp:align>center</wp:align>
            </wp:positionH>
            <wp:positionV relativeFrom="margin">
              <wp:posOffset>-380011</wp:posOffset>
            </wp:positionV>
            <wp:extent cx="2944495" cy="1637030"/>
            <wp:effectExtent l="0" t="0" r="8255" b="127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495" cy="163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41CFB4" w14:textId="77777777" w:rsidR="00C72191" w:rsidRDefault="00C72191" w:rsidP="00E57F7C">
      <w:pPr>
        <w:pStyle w:val="Title"/>
        <w:spacing w:before="80" w:after="0"/>
        <w:ind w:left="-709"/>
        <w:contextualSpacing w:val="0"/>
        <w:rPr>
          <w:sz w:val="56"/>
        </w:rPr>
      </w:pPr>
    </w:p>
    <w:p w14:paraId="1ECA0DE0" w14:textId="77777777" w:rsidR="00C72191" w:rsidRPr="005C0B3A" w:rsidRDefault="00C72191" w:rsidP="00E57F7C">
      <w:pPr>
        <w:pStyle w:val="Title"/>
        <w:spacing w:before="80" w:after="0"/>
        <w:ind w:left="-709"/>
        <w:contextualSpacing w:val="0"/>
        <w:rPr>
          <w:sz w:val="18"/>
        </w:rPr>
      </w:pPr>
    </w:p>
    <w:p w14:paraId="488309EA" w14:textId="77777777" w:rsidR="003C5057" w:rsidRDefault="003C5057" w:rsidP="00E57F7C">
      <w:pPr>
        <w:pStyle w:val="Title"/>
        <w:spacing w:before="80" w:after="0"/>
        <w:ind w:left="-709"/>
        <w:contextualSpacing w:val="0"/>
        <w:rPr>
          <w:color w:val="auto"/>
          <w:sz w:val="52"/>
        </w:rPr>
      </w:pPr>
    </w:p>
    <w:p w14:paraId="7C06676E" w14:textId="005A4FDA" w:rsidR="00C72191" w:rsidRPr="005C0B3A" w:rsidRDefault="005C0B3A" w:rsidP="005C0B3A">
      <w:pPr>
        <w:pStyle w:val="Title"/>
        <w:spacing w:before="80" w:after="0"/>
        <w:ind w:left="-709"/>
        <w:contextualSpacing w:val="0"/>
        <w:jc w:val="center"/>
        <w:rPr>
          <w:rFonts w:ascii="Times New Roman" w:hAnsi="Times New Roman" w:cs="Times New Roman"/>
          <w:color w:val="auto"/>
          <w:sz w:val="48"/>
        </w:rPr>
        <w:sectPr w:rsidR="00C72191" w:rsidRPr="005C0B3A" w:rsidSect="004A276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283" w:footer="0" w:gutter="0"/>
          <w:cols w:space="708"/>
          <w:titlePg/>
          <w:docGrid w:linePitch="360"/>
        </w:sectPr>
      </w:pPr>
      <w:r w:rsidRPr="005C0B3A">
        <w:rPr>
          <w:rFonts w:ascii="Times New Roman" w:hAnsi="Times New Roman" w:cs="Times New Roman"/>
          <w:i/>
          <w:iCs/>
          <w:smallCaps/>
          <w:noProof/>
          <w:color w:val="auto"/>
          <w:sz w:val="48"/>
        </w:rPr>
        <mc:AlternateContent>
          <mc:Choice Requires="wps">
            <w:drawing>
              <wp:anchor distT="45720" distB="45720" distL="114300" distR="114300" simplePos="0" relativeHeight="251659264" behindDoc="0" locked="0" layoutInCell="1" allowOverlap="1" wp14:anchorId="4E62E2E0" wp14:editId="01E661A4">
                <wp:simplePos x="0" y="0"/>
                <wp:positionH relativeFrom="column">
                  <wp:posOffset>-663575</wp:posOffset>
                </wp:positionH>
                <wp:positionV relativeFrom="paragraph">
                  <wp:posOffset>2601793</wp:posOffset>
                </wp:positionV>
                <wp:extent cx="446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1404620"/>
                        </a:xfrm>
                        <a:prstGeom prst="rect">
                          <a:avLst/>
                        </a:prstGeom>
                        <a:noFill/>
                        <a:ln w="9525">
                          <a:noFill/>
                          <a:miter lim="800000"/>
                          <a:headEnd/>
                          <a:tailEnd/>
                        </a:ln>
                      </wps:spPr>
                      <wps:txbx>
                        <w:txbxContent>
                          <w:p w14:paraId="6B922F82" w14:textId="42CAC052" w:rsidR="00F2053B" w:rsidRDefault="004278B6">
                            <w:r w:rsidRPr="004278B6">
                              <w:t>18</w:t>
                            </w:r>
                            <w:r w:rsidR="00883784" w:rsidRPr="004278B6">
                              <w:t xml:space="preserve"> May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62E2E0" id="_x0000_t202" coordsize="21600,21600" o:spt="202" path="m,l,21600r21600,l21600,xe">
                <v:stroke joinstyle="miter"/>
                <v:path gradientshapeok="t" o:connecttype="rect"/>
              </v:shapetype>
              <v:shape id="Text Box 2" o:spid="_x0000_s1026" type="#_x0000_t202" style="position:absolute;left:0;text-align:left;margin-left:-52.25pt;margin-top:204.85pt;width:35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" filled="f" stroked="f">
                <v:textbox style="mso-fit-shape-to-text:t">
                  <w:txbxContent>
                    <w:p w14:paraId="6B922F82" w14:textId="42CAC052" w:rsidR="00F2053B" w:rsidRDefault="004278B6">
                      <w:r w:rsidRPr="004278B6">
                        <w:t>18</w:t>
                      </w:r>
                      <w:r w:rsidR="00883784" w:rsidRPr="004278B6">
                        <w:t xml:space="preserve"> May 2021</w:t>
                      </w:r>
                    </w:p>
                  </w:txbxContent>
                </v:textbox>
                <w10:wrap type="square"/>
              </v:shape>
            </w:pict>
          </mc:Fallback>
        </mc:AlternateContent>
      </w:r>
      <w:r w:rsidR="003C5057" w:rsidRPr="005C0B3A">
        <w:rPr>
          <w:rFonts w:ascii="Times New Roman" w:hAnsi="Times New Roman" w:cs="Times New Roman"/>
          <w:color w:val="auto"/>
          <w:sz w:val="48"/>
        </w:rPr>
        <w:t>Australian Government response to</w:t>
      </w:r>
      <w:r w:rsidR="00BA1D4E" w:rsidRPr="005C0B3A">
        <w:rPr>
          <w:rFonts w:ascii="Times New Roman" w:hAnsi="Times New Roman" w:cs="Times New Roman"/>
          <w:color w:val="auto"/>
          <w:sz w:val="48"/>
        </w:rPr>
        <w:t xml:space="preserve"> the</w:t>
      </w:r>
      <w:r>
        <w:rPr>
          <w:rFonts w:ascii="Times New Roman" w:hAnsi="Times New Roman" w:cs="Times New Roman"/>
          <w:color w:val="auto"/>
          <w:sz w:val="48"/>
        </w:rPr>
        <w:t xml:space="preserve"> </w:t>
      </w:r>
      <w:r w:rsidR="003C5057" w:rsidRPr="005C0B3A">
        <w:rPr>
          <w:rFonts w:ascii="Times New Roman" w:hAnsi="Times New Roman" w:cs="Times New Roman"/>
          <w:color w:val="auto"/>
          <w:sz w:val="48"/>
        </w:rPr>
        <w:t>Productivity Commission’s</w:t>
      </w:r>
      <w:r>
        <w:rPr>
          <w:rFonts w:ascii="Times New Roman" w:hAnsi="Times New Roman" w:cs="Times New Roman"/>
          <w:color w:val="auto"/>
          <w:sz w:val="48"/>
        </w:rPr>
        <w:t xml:space="preserve"> </w:t>
      </w:r>
      <w:r>
        <w:rPr>
          <w:rFonts w:ascii="Times New Roman" w:hAnsi="Times New Roman" w:cs="Times New Roman"/>
          <w:color w:val="auto"/>
          <w:sz w:val="48"/>
        </w:rPr>
        <w:br/>
      </w:r>
      <w:r w:rsidRPr="00A53288">
        <w:rPr>
          <w:rFonts w:ascii="Times New Roman" w:hAnsi="Times New Roman" w:cs="Times New Roman"/>
          <w:b/>
          <w:i/>
          <w:color w:val="auto"/>
        </w:rPr>
        <w:t>E</w:t>
      </w:r>
      <w:r w:rsidR="00C72191" w:rsidRPr="00A53288">
        <w:rPr>
          <w:rFonts w:ascii="Times New Roman" w:hAnsi="Times New Roman" w:cs="Times New Roman"/>
          <w:b/>
          <w:i/>
          <w:color w:val="auto"/>
        </w:rPr>
        <w:t xml:space="preserve">xpenditure on Children </w:t>
      </w:r>
      <w:r w:rsidRPr="00A53288">
        <w:rPr>
          <w:rFonts w:ascii="Times New Roman" w:hAnsi="Times New Roman" w:cs="Times New Roman"/>
          <w:b/>
          <w:i/>
          <w:color w:val="auto"/>
        </w:rPr>
        <w:br/>
      </w:r>
      <w:r w:rsidR="00C72191" w:rsidRPr="00A53288">
        <w:rPr>
          <w:rFonts w:ascii="Times New Roman" w:hAnsi="Times New Roman" w:cs="Times New Roman"/>
          <w:b/>
          <w:i/>
          <w:color w:val="auto"/>
        </w:rPr>
        <w:t>in the Northern Territory</w:t>
      </w:r>
      <w:r w:rsidR="003C5057" w:rsidRPr="00762691">
        <w:rPr>
          <w:rFonts w:ascii="Times New Roman" w:hAnsi="Times New Roman" w:cs="Times New Roman"/>
          <w:i/>
          <w:color w:val="auto"/>
        </w:rPr>
        <w:t xml:space="preserve"> </w:t>
      </w:r>
      <w:r>
        <w:rPr>
          <w:rFonts w:ascii="Times New Roman" w:hAnsi="Times New Roman" w:cs="Times New Roman"/>
          <w:i/>
          <w:color w:val="auto"/>
          <w:sz w:val="52"/>
        </w:rPr>
        <w:br/>
      </w:r>
      <w:r w:rsidR="00A53288">
        <w:rPr>
          <w:rFonts w:ascii="Times New Roman" w:hAnsi="Times New Roman" w:cs="Times New Roman"/>
          <w:color w:val="auto"/>
          <w:sz w:val="48"/>
        </w:rPr>
        <w:t>(f</w:t>
      </w:r>
      <w:r w:rsidR="00816D31" w:rsidRPr="002C073C">
        <w:rPr>
          <w:rFonts w:ascii="Times New Roman" w:hAnsi="Times New Roman" w:cs="Times New Roman"/>
          <w:color w:val="auto"/>
          <w:sz w:val="48"/>
        </w:rPr>
        <w:t xml:space="preserve">inal </w:t>
      </w:r>
      <w:r w:rsidR="00A53288">
        <w:rPr>
          <w:rFonts w:ascii="Times New Roman" w:hAnsi="Times New Roman" w:cs="Times New Roman"/>
          <w:color w:val="auto"/>
          <w:sz w:val="48"/>
        </w:rPr>
        <w:t>r</w:t>
      </w:r>
      <w:r w:rsidR="00816D31" w:rsidRPr="002C073C">
        <w:rPr>
          <w:rFonts w:ascii="Times New Roman" w:hAnsi="Times New Roman" w:cs="Times New Roman"/>
          <w:color w:val="auto"/>
          <w:sz w:val="48"/>
        </w:rPr>
        <w:t>eport</w:t>
      </w:r>
      <w:r w:rsidRPr="002C073C">
        <w:rPr>
          <w:rFonts w:ascii="Times New Roman" w:hAnsi="Times New Roman" w:cs="Times New Roman"/>
          <w:color w:val="auto"/>
          <w:sz w:val="48"/>
        </w:rPr>
        <w:t xml:space="preserve">; </w:t>
      </w:r>
      <w:r w:rsidR="00816D31" w:rsidRPr="002C073C">
        <w:rPr>
          <w:rFonts w:ascii="Times New Roman" w:hAnsi="Times New Roman" w:cs="Times New Roman"/>
          <w:color w:val="auto"/>
          <w:sz w:val="48"/>
        </w:rPr>
        <w:t>2020)</w:t>
      </w:r>
    </w:p>
    <w:p w14:paraId="592A5073" w14:textId="0B50F429" w:rsidR="00E11CA5" w:rsidRDefault="00E11CA5" w:rsidP="00E11CA5">
      <w:pPr>
        <w:autoSpaceDE w:val="0"/>
        <w:autoSpaceDN w:val="0"/>
        <w:adjustRightInd w:val="0"/>
        <w:spacing w:before="0" w:after="0" w:line="240" w:lineRule="auto"/>
        <w:rPr>
          <w:rFonts w:eastAsiaTheme="minorHAnsi" w:cs="Arial"/>
          <w:color w:val="000000"/>
          <w:spacing w:val="0"/>
          <w:lang w:eastAsia="en-US"/>
        </w:rPr>
      </w:pPr>
      <w:bookmarkStart w:id="0" w:name="_Toc28081141"/>
      <w:bookmarkStart w:id="1" w:name="_Toc29391896"/>
      <w:bookmarkStart w:id="2" w:name="_Toc29379924"/>
      <w:bookmarkStart w:id="3" w:name="_Toc29378895"/>
      <w:bookmarkStart w:id="4" w:name="_Toc29373148"/>
      <w:bookmarkStart w:id="5" w:name="_Toc45800455"/>
    </w:p>
    <w:p w14:paraId="3BB3722E" w14:textId="6F9B45F4"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32D786F2" w14:textId="2FD7AC07"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7FEF5292" w14:textId="51997C9A"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084DF5E4" w14:textId="0C02D9FC"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64715B9B" w14:textId="6EBB91F7"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2CDBA638" w14:textId="0A0E9B47"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6D67A884" w14:textId="1CE9C909"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4FD20D19" w14:textId="4B165FC2"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34647BC1" w14:textId="0259B1D8"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46086E14" w14:textId="75A3E794"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2BF81D3E" w14:textId="75ED5400"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2CBC6D33" w14:textId="6F7C425D"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0D0AE2DF" w14:textId="1C66B26E"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2AD7F4F0" w14:textId="7FFAF533"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599DA38E" w14:textId="19C44E28"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1AF71413" w14:textId="1FE66449"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64A218BD" w14:textId="53883430"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2B470322" w14:textId="0F0365B9"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10622973" w14:textId="0052B7DB"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00640881" w14:textId="626A1921"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1B52E926" w14:textId="4B44063F"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0BB089BD" w14:textId="14EA0544"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70D8AD4F" w14:textId="7A94B013"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3533CF66" w14:textId="5DDEFC0D"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4E7855F0" w14:textId="2EF87F78"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0E3EDA17" w14:textId="0F40EBA7"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489D11E0" w14:textId="203405D1"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06CFF906" w14:textId="3B945692"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44C9E698" w14:textId="01456E86"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5FADBF5A" w14:textId="429601D7"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4577698F" w14:textId="503D5578"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324F2615" w14:textId="0073C310"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307BA869" w14:textId="366CDF7A" w:rsidR="0010580B" w:rsidRDefault="0010580B" w:rsidP="00E11CA5">
      <w:pPr>
        <w:autoSpaceDE w:val="0"/>
        <w:autoSpaceDN w:val="0"/>
        <w:adjustRightInd w:val="0"/>
        <w:spacing w:before="0" w:after="0" w:line="240" w:lineRule="auto"/>
        <w:rPr>
          <w:rFonts w:eastAsiaTheme="minorHAnsi" w:cs="Arial"/>
          <w:color w:val="000000"/>
          <w:spacing w:val="0"/>
          <w:lang w:eastAsia="en-US"/>
        </w:rPr>
      </w:pPr>
    </w:p>
    <w:p w14:paraId="47A127D7" w14:textId="70342009" w:rsidR="0010580B" w:rsidRPr="00E11CA5" w:rsidRDefault="0010580B" w:rsidP="00E11CA5">
      <w:pPr>
        <w:autoSpaceDE w:val="0"/>
        <w:autoSpaceDN w:val="0"/>
        <w:adjustRightInd w:val="0"/>
        <w:spacing w:before="0" w:after="0" w:line="240" w:lineRule="auto"/>
        <w:rPr>
          <w:rFonts w:eastAsiaTheme="minorHAnsi" w:cs="Arial"/>
          <w:color w:val="000000"/>
          <w:spacing w:val="0"/>
          <w:lang w:eastAsia="en-US"/>
        </w:rPr>
      </w:pPr>
    </w:p>
    <w:tbl>
      <w:tblPr>
        <w:tblW w:w="5000" w:type="pct"/>
        <w:tblBorders>
          <w:top w:val="nil"/>
          <w:left w:val="nil"/>
          <w:bottom w:val="nil"/>
          <w:right w:val="nil"/>
        </w:tblBorders>
        <w:shd w:val="clear" w:color="auto" w:fill="D9D9D9" w:themeFill="background1" w:themeFillShade="D9"/>
        <w:tblLook w:val="0000" w:firstRow="0" w:lastRow="0" w:firstColumn="0" w:lastColumn="0" w:noHBand="0" w:noVBand="0"/>
      </w:tblPr>
      <w:tblGrid>
        <w:gridCol w:w="9746"/>
      </w:tblGrid>
      <w:tr w:rsidR="00E11CA5" w:rsidRPr="00E11CA5" w14:paraId="4FF23EC3" w14:textId="77777777" w:rsidTr="00095683">
        <w:trPr>
          <w:trHeight w:val="1849"/>
        </w:trPr>
        <w:tc>
          <w:tcPr>
            <w:tcW w:w="5000" w:type="pct"/>
            <w:shd w:val="clear" w:color="auto" w:fill="D9D9D9" w:themeFill="background1" w:themeFillShade="D9"/>
            <w:vAlign w:val="center"/>
          </w:tcPr>
          <w:p w14:paraId="475D1FD9" w14:textId="1BF4F02F" w:rsidR="00E11CA5" w:rsidRPr="004278B6" w:rsidRDefault="00E11CA5" w:rsidP="00095683">
            <w:pPr>
              <w:autoSpaceDE w:val="0"/>
              <w:autoSpaceDN w:val="0"/>
              <w:adjustRightInd w:val="0"/>
              <w:spacing w:before="0" w:after="0" w:line="276" w:lineRule="auto"/>
              <w:rPr>
                <w:rFonts w:eastAsiaTheme="minorHAnsi" w:cs="Arial"/>
                <w:b/>
                <w:bCs/>
                <w:color w:val="000000"/>
                <w:spacing w:val="0"/>
                <w:sz w:val="22"/>
                <w:szCs w:val="22"/>
                <w:lang w:eastAsia="en-US"/>
              </w:rPr>
            </w:pPr>
            <w:r w:rsidRPr="00E11CA5">
              <w:rPr>
                <w:rFonts w:eastAsiaTheme="minorHAnsi" w:cs="Arial"/>
                <w:b/>
                <w:bCs/>
                <w:color w:val="000000"/>
                <w:spacing w:val="0"/>
                <w:sz w:val="22"/>
                <w:szCs w:val="22"/>
                <w:lang w:eastAsia="en-US"/>
              </w:rPr>
              <w:t>Copyright notice</w:t>
            </w:r>
            <w:r>
              <w:rPr>
                <w:rFonts w:eastAsiaTheme="minorHAnsi" w:cs="Arial"/>
                <w:b/>
                <w:bCs/>
                <w:color w:val="000000"/>
                <w:spacing w:val="0"/>
                <w:sz w:val="22"/>
                <w:szCs w:val="22"/>
                <w:lang w:eastAsia="en-US"/>
              </w:rPr>
              <w:t xml:space="preserve"> </w:t>
            </w:r>
            <w:r w:rsidRPr="00E11CA5">
              <w:rPr>
                <w:rFonts w:eastAsiaTheme="minorHAnsi" w:cs="Arial"/>
                <w:b/>
                <w:bCs/>
                <w:color w:val="000000"/>
                <w:spacing w:val="0"/>
                <w:sz w:val="22"/>
                <w:szCs w:val="22"/>
                <w:lang w:eastAsia="en-US"/>
              </w:rPr>
              <w:t xml:space="preserve">— </w:t>
            </w:r>
            <w:r w:rsidRPr="004278B6">
              <w:rPr>
                <w:rFonts w:eastAsiaTheme="minorHAnsi" w:cs="Arial"/>
                <w:b/>
                <w:bCs/>
                <w:color w:val="000000"/>
                <w:spacing w:val="0"/>
                <w:sz w:val="22"/>
                <w:szCs w:val="22"/>
                <w:lang w:eastAsia="en-US"/>
              </w:rPr>
              <w:t>202</w:t>
            </w:r>
            <w:r w:rsidR="00883784" w:rsidRPr="004278B6">
              <w:rPr>
                <w:rFonts w:eastAsiaTheme="minorHAnsi" w:cs="Arial"/>
                <w:b/>
                <w:bCs/>
                <w:color w:val="000000"/>
                <w:spacing w:val="0"/>
                <w:sz w:val="22"/>
                <w:szCs w:val="22"/>
                <w:lang w:eastAsia="en-US"/>
              </w:rPr>
              <w:t>1</w:t>
            </w:r>
            <w:r w:rsidRPr="004278B6">
              <w:rPr>
                <w:rFonts w:eastAsiaTheme="minorHAnsi" w:cs="Arial"/>
                <w:b/>
                <w:bCs/>
                <w:color w:val="000000"/>
                <w:spacing w:val="0"/>
                <w:sz w:val="22"/>
                <w:szCs w:val="22"/>
                <w:lang w:eastAsia="en-US"/>
              </w:rPr>
              <w:t xml:space="preserve"> </w:t>
            </w:r>
          </w:p>
          <w:p w14:paraId="093505E8" w14:textId="4C1C8EF4" w:rsidR="0010580B" w:rsidRPr="004278B6" w:rsidRDefault="0010580B" w:rsidP="00095683">
            <w:pPr>
              <w:autoSpaceDE w:val="0"/>
              <w:autoSpaceDN w:val="0"/>
              <w:adjustRightInd w:val="0"/>
              <w:spacing w:before="0" w:after="0" w:line="276" w:lineRule="auto"/>
              <w:rPr>
                <w:rFonts w:eastAsiaTheme="minorHAnsi" w:cs="Arial"/>
                <w:color w:val="000000"/>
                <w:spacing w:val="0"/>
                <w:sz w:val="22"/>
                <w:szCs w:val="22"/>
                <w:lang w:eastAsia="en-US"/>
              </w:rPr>
            </w:pPr>
            <w:r w:rsidRPr="004278B6">
              <w:rPr>
                <w:noProof/>
              </w:rPr>
              <w:drawing>
                <wp:inline distT="0" distB="0" distL="0" distR="0" wp14:anchorId="7EA508B8" wp14:editId="1A3E9332">
                  <wp:extent cx="948534" cy="337751"/>
                  <wp:effectExtent l="0" t="0" r="4445" b="5715"/>
                  <wp:docPr id="1" name="Picture 1" title="Copyright noti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99431" cy="355874"/>
                          </a:xfrm>
                          <a:prstGeom prst="rect">
                            <a:avLst/>
                          </a:prstGeom>
                        </pic:spPr>
                      </pic:pic>
                    </a:graphicData>
                  </a:graphic>
                </wp:inline>
              </w:drawing>
            </w:r>
          </w:p>
          <w:p w14:paraId="5A9B9A07" w14:textId="7D939C0F" w:rsidR="00E11CA5" w:rsidRPr="004278B6" w:rsidRDefault="00E11CA5" w:rsidP="00095683">
            <w:pPr>
              <w:autoSpaceDE w:val="0"/>
              <w:autoSpaceDN w:val="0"/>
              <w:adjustRightInd w:val="0"/>
              <w:spacing w:before="0" w:after="0" w:line="276" w:lineRule="auto"/>
              <w:rPr>
                <w:rFonts w:eastAsiaTheme="minorHAnsi" w:cs="Arial"/>
                <w:color w:val="000000"/>
                <w:spacing w:val="0"/>
                <w:sz w:val="22"/>
                <w:szCs w:val="22"/>
                <w:lang w:eastAsia="en-US"/>
              </w:rPr>
            </w:pPr>
            <w:r w:rsidRPr="004278B6">
              <w:rPr>
                <w:rFonts w:eastAsiaTheme="minorHAnsi" w:cs="Arial"/>
                <w:color w:val="000000"/>
                <w:spacing w:val="0"/>
                <w:sz w:val="22"/>
                <w:szCs w:val="22"/>
                <w:lang w:eastAsia="en-US"/>
              </w:rPr>
              <w:t xml:space="preserve">This document </w:t>
            </w:r>
            <w:r w:rsidR="0010580B" w:rsidRPr="004278B6">
              <w:rPr>
                <w:rFonts w:eastAsiaTheme="minorHAnsi" w:cs="Arial"/>
                <w:color w:val="000000"/>
                <w:spacing w:val="0"/>
                <w:sz w:val="22"/>
                <w:szCs w:val="22"/>
                <w:lang w:eastAsia="en-US"/>
              </w:rPr>
              <w:t>‘</w:t>
            </w:r>
            <w:r w:rsidRPr="004278B6">
              <w:rPr>
                <w:rFonts w:eastAsiaTheme="minorHAnsi" w:cs="Arial"/>
                <w:color w:val="000000"/>
                <w:spacing w:val="0"/>
                <w:sz w:val="22"/>
                <w:szCs w:val="22"/>
                <w:lang w:eastAsia="en-US"/>
              </w:rPr>
              <w:t>Australian Government response to the Productivity Commission’s Expenditure on Children in the Northern Territory</w:t>
            </w:r>
            <w:r w:rsidR="0010580B" w:rsidRPr="004278B6">
              <w:rPr>
                <w:rFonts w:eastAsiaTheme="minorHAnsi" w:cs="Arial"/>
                <w:color w:val="000000"/>
                <w:spacing w:val="0"/>
                <w:sz w:val="22"/>
                <w:szCs w:val="22"/>
                <w:lang w:eastAsia="en-US"/>
              </w:rPr>
              <w:t>’</w:t>
            </w:r>
            <w:r w:rsidRPr="004278B6">
              <w:rPr>
                <w:rFonts w:eastAsiaTheme="minorHAnsi" w:cs="Arial"/>
                <w:color w:val="000000"/>
                <w:spacing w:val="0"/>
                <w:sz w:val="22"/>
                <w:szCs w:val="22"/>
                <w:lang w:eastAsia="en-US"/>
              </w:rPr>
              <w:t xml:space="preserve"> is licensed under the </w:t>
            </w:r>
            <w:r w:rsidRPr="004278B6">
              <w:rPr>
                <w:rFonts w:eastAsiaTheme="minorHAnsi" w:cs="Arial"/>
                <w:b/>
                <w:bCs/>
                <w:color w:val="000000"/>
                <w:spacing w:val="0"/>
                <w:sz w:val="22"/>
                <w:szCs w:val="22"/>
                <w:lang w:eastAsia="en-US"/>
              </w:rPr>
              <w:t xml:space="preserve">Creative Commons Attribution 4.0 International Licence </w:t>
            </w:r>
          </w:p>
          <w:p w14:paraId="1E70E25A" w14:textId="77777777" w:rsidR="00E11CA5" w:rsidRPr="004278B6" w:rsidRDefault="00E11CA5" w:rsidP="00095683">
            <w:pPr>
              <w:autoSpaceDE w:val="0"/>
              <w:autoSpaceDN w:val="0"/>
              <w:adjustRightInd w:val="0"/>
              <w:spacing w:before="0" w:after="0" w:line="276" w:lineRule="auto"/>
              <w:rPr>
                <w:rFonts w:eastAsiaTheme="minorHAnsi" w:cs="Arial"/>
                <w:color w:val="000000"/>
                <w:spacing w:val="0"/>
                <w:sz w:val="22"/>
                <w:szCs w:val="22"/>
                <w:lang w:eastAsia="en-US"/>
              </w:rPr>
            </w:pPr>
            <w:r w:rsidRPr="004278B6">
              <w:rPr>
                <w:rFonts w:eastAsiaTheme="minorHAnsi" w:cs="Arial"/>
                <w:b/>
                <w:bCs/>
                <w:color w:val="000000"/>
                <w:spacing w:val="0"/>
                <w:sz w:val="22"/>
                <w:szCs w:val="22"/>
                <w:lang w:eastAsia="en-US"/>
              </w:rPr>
              <w:t xml:space="preserve">Licence URL: </w:t>
            </w:r>
            <w:r w:rsidRPr="004278B6">
              <w:rPr>
                <w:rFonts w:eastAsiaTheme="minorHAnsi" w:cs="Arial"/>
                <w:color w:val="000000"/>
                <w:spacing w:val="0"/>
                <w:sz w:val="22"/>
                <w:szCs w:val="22"/>
                <w:lang w:eastAsia="en-US"/>
              </w:rPr>
              <w:t xml:space="preserve">https://creativecommons.org/licenses/by/4.0/legalcode </w:t>
            </w:r>
          </w:p>
          <w:p w14:paraId="6BA84812" w14:textId="7B625C59" w:rsidR="00E11CA5" w:rsidRPr="00E11CA5" w:rsidRDefault="00E11CA5" w:rsidP="00095683">
            <w:pPr>
              <w:autoSpaceDE w:val="0"/>
              <w:autoSpaceDN w:val="0"/>
              <w:adjustRightInd w:val="0"/>
              <w:spacing w:before="0" w:after="0" w:line="276" w:lineRule="auto"/>
              <w:rPr>
                <w:rFonts w:eastAsiaTheme="minorHAnsi" w:cs="Arial"/>
                <w:color w:val="000000"/>
                <w:spacing w:val="0"/>
                <w:sz w:val="22"/>
                <w:szCs w:val="22"/>
                <w:lang w:eastAsia="en-US"/>
              </w:rPr>
            </w:pPr>
            <w:r w:rsidRPr="004278B6">
              <w:rPr>
                <w:rFonts w:eastAsiaTheme="minorHAnsi" w:cs="Arial"/>
                <w:b/>
                <w:bCs/>
                <w:color w:val="000000"/>
                <w:spacing w:val="0"/>
                <w:sz w:val="22"/>
                <w:szCs w:val="22"/>
                <w:lang w:eastAsia="en-US"/>
              </w:rPr>
              <w:t xml:space="preserve">Please attribute: </w:t>
            </w:r>
            <w:r w:rsidRPr="004278B6">
              <w:rPr>
                <w:rFonts w:eastAsiaTheme="minorHAnsi" w:cs="Arial"/>
                <w:color w:val="000000"/>
                <w:spacing w:val="0"/>
                <w:sz w:val="22"/>
                <w:szCs w:val="22"/>
                <w:lang w:eastAsia="en-US"/>
              </w:rPr>
              <w:t>© Commonwealth of Australia (Department of Social Services</w:t>
            </w:r>
            <w:r w:rsidR="0010580B" w:rsidRPr="004278B6">
              <w:rPr>
                <w:rFonts w:eastAsiaTheme="minorHAnsi" w:cs="Arial"/>
                <w:color w:val="000000"/>
                <w:spacing w:val="0"/>
                <w:sz w:val="22"/>
                <w:szCs w:val="22"/>
                <w:lang w:eastAsia="en-US"/>
              </w:rPr>
              <w:t xml:space="preserve"> and National Indigenous Australians Agency</w:t>
            </w:r>
            <w:r w:rsidRPr="004278B6">
              <w:rPr>
                <w:rFonts w:eastAsiaTheme="minorHAnsi" w:cs="Arial"/>
                <w:color w:val="000000"/>
                <w:spacing w:val="0"/>
                <w:sz w:val="22"/>
                <w:szCs w:val="22"/>
                <w:lang w:eastAsia="en-US"/>
              </w:rPr>
              <w:t xml:space="preserve">) </w:t>
            </w:r>
            <w:r w:rsidR="0010580B" w:rsidRPr="004278B6">
              <w:rPr>
                <w:rFonts w:eastAsiaTheme="minorHAnsi" w:cs="Arial"/>
                <w:color w:val="000000"/>
                <w:spacing w:val="0"/>
                <w:sz w:val="22"/>
                <w:szCs w:val="22"/>
                <w:lang w:eastAsia="en-US"/>
              </w:rPr>
              <w:t>202</w:t>
            </w:r>
            <w:r w:rsidR="00883784" w:rsidRPr="004278B6">
              <w:rPr>
                <w:rFonts w:eastAsiaTheme="minorHAnsi" w:cs="Arial"/>
                <w:color w:val="000000"/>
                <w:spacing w:val="0"/>
                <w:sz w:val="22"/>
                <w:szCs w:val="22"/>
                <w:lang w:eastAsia="en-US"/>
              </w:rPr>
              <w:t>1</w:t>
            </w:r>
            <w:r w:rsidRPr="00E11CA5">
              <w:rPr>
                <w:rFonts w:eastAsiaTheme="minorHAnsi" w:cs="Arial"/>
                <w:b/>
                <w:bCs/>
                <w:color w:val="000000"/>
                <w:spacing w:val="0"/>
                <w:sz w:val="22"/>
                <w:szCs w:val="22"/>
                <w:lang w:eastAsia="en-US"/>
              </w:rPr>
              <w:t xml:space="preserve"> </w:t>
            </w:r>
          </w:p>
          <w:p w14:paraId="31E1CF47" w14:textId="77777777" w:rsidR="00E11CA5" w:rsidRPr="00E11CA5" w:rsidRDefault="00E11CA5" w:rsidP="00095683">
            <w:pPr>
              <w:autoSpaceDE w:val="0"/>
              <w:autoSpaceDN w:val="0"/>
              <w:adjustRightInd w:val="0"/>
              <w:spacing w:before="0" w:after="0" w:line="276" w:lineRule="auto"/>
              <w:rPr>
                <w:rFonts w:eastAsiaTheme="minorHAnsi" w:cs="Arial"/>
                <w:color w:val="000000"/>
                <w:spacing w:val="0"/>
                <w:sz w:val="22"/>
                <w:szCs w:val="22"/>
                <w:lang w:eastAsia="en-US"/>
              </w:rPr>
            </w:pPr>
            <w:r w:rsidRPr="00E11CA5">
              <w:rPr>
                <w:rFonts w:eastAsiaTheme="minorHAnsi" w:cs="Arial"/>
                <w:b/>
                <w:bCs/>
                <w:color w:val="000000"/>
                <w:spacing w:val="0"/>
                <w:sz w:val="22"/>
                <w:szCs w:val="22"/>
                <w:lang w:eastAsia="en-US"/>
              </w:rPr>
              <w:t xml:space="preserve">Notice identifying other material or rights in this publication: </w:t>
            </w:r>
          </w:p>
          <w:p w14:paraId="3ED9B0A2" w14:textId="39FDBAA7" w:rsidR="00E11CA5" w:rsidRPr="00E11CA5" w:rsidRDefault="00E11CA5" w:rsidP="00095683">
            <w:pPr>
              <w:autoSpaceDE w:val="0"/>
              <w:autoSpaceDN w:val="0"/>
              <w:adjustRightInd w:val="0"/>
              <w:spacing w:before="0" w:after="0" w:line="276" w:lineRule="auto"/>
              <w:rPr>
                <w:rFonts w:eastAsiaTheme="minorHAnsi" w:cs="Arial"/>
                <w:color w:val="000000"/>
                <w:spacing w:val="0"/>
                <w:sz w:val="22"/>
                <w:szCs w:val="22"/>
                <w:lang w:eastAsia="en-US"/>
              </w:rPr>
            </w:pPr>
            <w:r w:rsidRPr="00E11CA5">
              <w:rPr>
                <w:rFonts w:eastAsiaTheme="minorHAnsi" w:cs="Arial"/>
                <w:color w:val="000000"/>
                <w:spacing w:val="0"/>
                <w:sz w:val="22"/>
                <w:szCs w:val="22"/>
                <w:lang w:eastAsia="en-US"/>
              </w:rPr>
              <w:t>1.</w:t>
            </w:r>
            <w:r w:rsidR="0010580B">
              <w:rPr>
                <w:rFonts w:eastAsiaTheme="minorHAnsi" w:cs="Arial"/>
                <w:color w:val="000000"/>
                <w:spacing w:val="0"/>
                <w:sz w:val="22"/>
                <w:szCs w:val="22"/>
                <w:lang w:eastAsia="en-US"/>
              </w:rPr>
              <w:t xml:space="preserve"> </w:t>
            </w:r>
            <w:r w:rsidRPr="00E11CA5">
              <w:rPr>
                <w:rFonts w:eastAsiaTheme="minorHAnsi" w:cs="Arial"/>
                <w:color w:val="000000"/>
                <w:spacing w:val="0"/>
                <w:sz w:val="22"/>
                <w:szCs w:val="22"/>
                <w:lang w:eastAsia="en-US"/>
              </w:rPr>
              <w:t>Australian Commonwealth Coat of Arms — not Licensed under Creative Commons,</w:t>
            </w:r>
            <w:r>
              <w:rPr>
                <w:rFonts w:eastAsiaTheme="minorHAnsi" w:cs="Arial"/>
                <w:color w:val="000000"/>
                <w:spacing w:val="0"/>
                <w:sz w:val="22"/>
                <w:szCs w:val="22"/>
                <w:lang w:eastAsia="en-US"/>
              </w:rPr>
              <w:t xml:space="preserve"> </w:t>
            </w:r>
            <w:r w:rsidRPr="00E11CA5">
              <w:rPr>
                <w:rFonts w:eastAsiaTheme="minorHAnsi" w:cs="Arial"/>
                <w:color w:val="000000"/>
                <w:spacing w:val="0"/>
                <w:sz w:val="22"/>
                <w:szCs w:val="22"/>
                <w:lang w:eastAsia="en-US"/>
              </w:rPr>
              <w:t>see https://www.itsanhonour.gov.au/coat-arms/index.cfm</w:t>
            </w:r>
          </w:p>
          <w:p w14:paraId="405A0886" w14:textId="40DE8984" w:rsidR="00E11CA5" w:rsidRPr="00E11CA5" w:rsidRDefault="00E11CA5" w:rsidP="00095683">
            <w:pPr>
              <w:autoSpaceDE w:val="0"/>
              <w:autoSpaceDN w:val="0"/>
              <w:adjustRightInd w:val="0"/>
              <w:spacing w:before="0" w:after="0" w:line="276" w:lineRule="auto"/>
              <w:rPr>
                <w:rFonts w:eastAsiaTheme="minorHAnsi" w:cs="Arial"/>
                <w:color w:val="000000"/>
                <w:spacing w:val="0"/>
                <w:sz w:val="22"/>
                <w:szCs w:val="22"/>
                <w:lang w:eastAsia="en-US"/>
              </w:rPr>
            </w:pPr>
            <w:r w:rsidRPr="00E11CA5">
              <w:rPr>
                <w:rFonts w:eastAsiaTheme="minorHAnsi" w:cs="Arial"/>
                <w:color w:val="000000"/>
                <w:spacing w:val="0"/>
                <w:sz w:val="22"/>
                <w:szCs w:val="22"/>
                <w:lang w:eastAsia="en-US"/>
              </w:rPr>
              <w:t>2.</w:t>
            </w:r>
            <w:r w:rsidR="0010580B">
              <w:rPr>
                <w:rFonts w:eastAsiaTheme="minorHAnsi" w:cs="Arial"/>
                <w:color w:val="000000"/>
                <w:spacing w:val="0"/>
                <w:sz w:val="22"/>
                <w:szCs w:val="22"/>
                <w:lang w:eastAsia="en-US"/>
              </w:rPr>
              <w:t xml:space="preserve"> </w:t>
            </w:r>
            <w:r w:rsidRPr="00E11CA5">
              <w:rPr>
                <w:rFonts w:eastAsiaTheme="minorHAnsi" w:cs="Arial"/>
                <w:color w:val="000000"/>
                <w:spacing w:val="0"/>
                <w:sz w:val="22"/>
                <w:szCs w:val="22"/>
                <w:lang w:eastAsia="en-US"/>
              </w:rPr>
              <w:t>Certain images and photographs (as marked) — not licensed under Creative Commons</w:t>
            </w:r>
          </w:p>
          <w:p w14:paraId="5905D611" w14:textId="77777777" w:rsidR="00E11CA5" w:rsidRPr="00E11CA5" w:rsidRDefault="00E11CA5" w:rsidP="00095683">
            <w:pPr>
              <w:autoSpaceDE w:val="0"/>
              <w:autoSpaceDN w:val="0"/>
              <w:adjustRightInd w:val="0"/>
              <w:spacing w:before="0" w:after="0" w:line="276" w:lineRule="auto"/>
              <w:rPr>
                <w:rFonts w:eastAsiaTheme="minorHAnsi" w:cs="Arial"/>
                <w:color w:val="000000"/>
                <w:spacing w:val="0"/>
                <w:sz w:val="22"/>
                <w:szCs w:val="22"/>
                <w:lang w:eastAsia="en-US"/>
              </w:rPr>
            </w:pPr>
          </w:p>
        </w:tc>
        <w:bookmarkStart w:id="6" w:name="_GoBack"/>
        <w:bookmarkEnd w:id="6"/>
      </w:tr>
    </w:tbl>
    <w:p w14:paraId="2436E8B6" w14:textId="0D1B121B" w:rsidR="00E11CA5" w:rsidRDefault="00E11CA5" w:rsidP="00A53288">
      <w:pPr>
        <w:pStyle w:val="Heading1"/>
        <w:keepLines/>
        <w:tabs>
          <w:tab w:val="center" w:pos="4873"/>
        </w:tabs>
        <w:spacing w:before="80" w:after="0"/>
        <w:contextualSpacing w:val="0"/>
        <w:rPr>
          <w:rFonts w:ascii="Times New Roman" w:hAnsi="Times New Roman" w:cs="Times New Roman"/>
          <w:b/>
        </w:rPr>
        <w:sectPr w:rsidR="00E11CA5" w:rsidSect="000F423F">
          <w:headerReference w:type="even" r:id="rId16"/>
          <w:headerReference w:type="default" r:id="rId17"/>
          <w:headerReference w:type="first" r:id="rId18"/>
          <w:footerReference w:type="first" r:id="rId19"/>
          <w:pgSz w:w="11906" w:h="16838"/>
          <w:pgMar w:top="1440" w:right="1080" w:bottom="1440" w:left="1080" w:header="284" w:footer="459" w:gutter="0"/>
          <w:pgNumType w:start="1"/>
          <w:cols w:space="708"/>
          <w:titlePg/>
          <w:docGrid w:linePitch="360"/>
        </w:sectPr>
      </w:pPr>
    </w:p>
    <w:p w14:paraId="1CBAF181" w14:textId="3CC31CDC" w:rsidR="00C72191" w:rsidRDefault="00C72191" w:rsidP="00A53288">
      <w:pPr>
        <w:pStyle w:val="Heading1"/>
        <w:keepLines/>
        <w:tabs>
          <w:tab w:val="center" w:pos="4873"/>
        </w:tabs>
        <w:spacing w:before="80" w:after="0"/>
        <w:contextualSpacing w:val="0"/>
        <w:rPr>
          <w:rFonts w:ascii="Times New Roman" w:hAnsi="Times New Roman" w:cs="Times New Roman"/>
          <w:b/>
        </w:rPr>
      </w:pPr>
      <w:r w:rsidRPr="008458BE">
        <w:rPr>
          <w:rFonts w:ascii="Times New Roman" w:hAnsi="Times New Roman" w:cs="Times New Roman"/>
          <w:b/>
        </w:rPr>
        <w:lastRenderedPageBreak/>
        <w:t>Introduction</w:t>
      </w:r>
      <w:bookmarkEnd w:id="0"/>
      <w:bookmarkEnd w:id="1"/>
      <w:bookmarkEnd w:id="2"/>
      <w:bookmarkEnd w:id="3"/>
      <w:bookmarkEnd w:id="4"/>
      <w:bookmarkEnd w:id="5"/>
      <w:r w:rsidR="00A53288">
        <w:rPr>
          <w:rFonts w:ascii="Times New Roman" w:hAnsi="Times New Roman" w:cs="Times New Roman"/>
          <w:b/>
        </w:rPr>
        <w:tab/>
      </w:r>
    </w:p>
    <w:p w14:paraId="15EB50AC" w14:textId="556EF81A" w:rsidR="00D6626A" w:rsidRPr="00E57F7C" w:rsidRDefault="00366164" w:rsidP="00D208EF">
      <w:pPr>
        <w:pStyle w:val="ListParagraph"/>
        <w:keepLines/>
        <w:numPr>
          <w:ilvl w:val="0"/>
          <w:numId w:val="2"/>
        </w:numPr>
        <w:spacing w:after="0" w:line="240" w:lineRule="auto"/>
        <w:ind w:left="357" w:hanging="357"/>
        <w:contextualSpacing w:val="0"/>
        <w:rPr>
          <w:rFonts w:ascii="Times New Roman" w:hAnsi="Times New Roman"/>
        </w:rPr>
      </w:pPr>
      <w:r w:rsidRPr="00D6626A">
        <w:rPr>
          <w:rFonts w:ascii="Times New Roman" w:hAnsi="Times New Roman"/>
        </w:rPr>
        <w:t xml:space="preserve">The Australian Government welcomes the Productivity Commission’s (PC’s) final report, titled ‘Expenditure on Children in the Northern Territory’, and thanks the PC for </w:t>
      </w:r>
      <w:r w:rsidR="000D7078" w:rsidRPr="00D6626A">
        <w:rPr>
          <w:rFonts w:ascii="Times New Roman" w:hAnsi="Times New Roman"/>
        </w:rPr>
        <w:t xml:space="preserve">conducting </w:t>
      </w:r>
      <w:r w:rsidR="008201F7" w:rsidRPr="00D6626A">
        <w:rPr>
          <w:rFonts w:ascii="Times New Roman" w:hAnsi="Times New Roman"/>
        </w:rPr>
        <w:t xml:space="preserve">a </w:t>
      </w:r>
      <w:r w:rsidR="000D7078" w:rsidRPr="00D6626A">
        <w:rPr>
          <w:rFonts w:ascii="Times New Roman" w:hAnsi="Times New Roman"/>
        </w:rPr>
        <w:t xml:space="preserve">thorough </w:t>
      </w:r>
      <w:r w:rsidR="008201F7" w:rsidRPr="00D6626A">
        <w:rPr>
          <w:rFonts w:ascii="Times New Roman" w:hAnsi="Times New Roman"/>
        </w:rPr>
        <w:t>investigation into</w:t>
      </w:r>
      <w:r w:rsidR="00D6626A">
        <w:rPr>
          <w:rFonts w:ascii="Times New Roman" w:hAnsi="Times New Roman"/>
        </w:rPr>
        <w:t xml:space="preserve"> Australian </w:t>
      </w:r>
      <w:r w:rsidR="002659EC">
        <w:rPr>
          <w:rFonts w:ascii="Times New Roman" w:hAnsi="Times New Roman"/>
        </w:rPr>
        <w:t>and Northern Territory g</w:t>
      </w:r>
      <w:r w:rsidR="00D6626A">
        <w:rPr>
          <w:rFonts w:ascii="Times New Roman" w:hAnsi="Times New Roman"/>
        </w:rPr>
        <w:t xml:space="preserve">overnment funding and services for </w:t>
      </w:r>
      <w:r w:rsidR="00D6626A" w:rsidRPr="00D6626A">
        <w:rPr>
          <w:rFonts w:ascii="Times New Roman" w:hAnsi="Times New Roman"/>
        </w:rPr>
        <w:t xml:space="preserve">children and families </w:t>
      </w:r>
      <w:r w:rsidR="00D6626A">
        <w:rPr>
          <w:rFonts w:ascii="Times New Roman" w:hAnsi="Times New Roman"/>
        </w:rPr>
        <w:t xml:space="preserve">in the </w:t>
      </w:r>
      <w:r w:rsidR="002659EC">
        <w:rPr>
          <w:rFonts w:ascii="Times New Roman" w:hAnsi="Times New Roman"/>
        </w:rPr>
        <w:t>Northern Territory</w:t>
      </w:r>
      <w:r w:rsidR="00D6626A">
        <w:rPr>
          <w:rFonts w:ascii="Times New Roman" w:hAnsi="Times New Roman"/>
        </w:rPr>
        <w:t>.</w:t>
      </w:r>
      <w:r w:rsidR="00D6626A" w:rsidRPr="00D6626A">
        <w:rPr>
          <w:rFonts w:ascii="Times New Roman" w:hAnsi="Times New Roman"/>
        </w:rPr>
        <w:t xml:space="preserve"> </w:t>
      </w:r>
      <w:r w:rsidR="008201F7" w:rsidRPr="00D6626A">
        <w:rPr>
          <w:rFonts w:ascii="Times New Roman" w:hAnsi="Times New Roman"/>
        </w:rPr>
        <w:t xml:space="preserve"> </w:t>
      </w:r>
    </w:p>
    <w:p w14:paraId="22284048" w14:textId="3D575924" w:rsidR="0059102A" w:rsidRDefault="0059102A" w:rsidP="0059102A">
      <w:pPr>
        <w:pStyle w:val="ListParagraph"/>
        <w:keepLines/>
        <w:numPr>
          <w:ilvl w:val="0"/>
          <w:numId w:val="2"/>
        </w:numPr>
        <w:spacing w:after="0" w:line="240" w:lineRule="auto"/>
        <w:ind w:left="357" w:hanging="357"/>
        <w:contextualSpacing w:val="0"/>
        <w:rPr>
          <w:rFonts w:ascii="Times New Roman" w:hAnsi="Times New Roman"/>
        </w:rPr>
      </w:pPr>
      <w:r>
        <w:rPr>
          <w:rFonts w:ascii="Times New Roman" w:hAnsi="Times New Roman"/>
        </w:rPr>
        <w:t>The Australian Government commissioned the PC to conduct</w:t>
      </w:r>
      <w:r w:rsidR="00B23221">
        <w:rPr>
          <w:rFonts w:ascii="Times New Roman" w:hAnsi="Times New Roman"/>
        </w:rPr>
        <w:t xml:space="preserve"> this</w:t>
      </w:r>
      <w:r>
        <w:rPr>
          <w:rFonts w:ascii="Times New Roman" w:hAnsi="Times New Roman"/>
        </w:rPr>
        <w:t xml:space="preserve"> research as part of our</w:t>
      </w:r>
      <w:r w:rsidRPr="00366164">
        <w:rPr>
          <w:rFonts w:ascii="Times New Roman" w:hAnsi="Times New Roman"/>
        </w:rPr>
        <w:t xml:space="preserve"> commitment to the </w:t>
      </w:r>
      <w:r>
        <w:rPr>
          <w:rFonts w:ascii="Times New Roman" w:hAnsi="Times New Roman"/>
        </w:rPr>
        <w:t>recommendations of</w:t>
      </w:r>
      <w:r w:rsidRPr="00366164">
        <w:rPr>
          <w:rFonts w:ascii="Times New Roman" w:hAnsi="Times New Roman"/>
        </w:rPr>
        <w:t xml:space="preserve"> the </w:t>
      </w:r>
      <w:r w:rsidRPr="00366164">
        <w:rPr>
          <w:rFonts w:ascii="Times New Roman" w:hAnsi="Times New Roman"/>
          <w:i/>
        </w:rPr>
        <w:t xml:space="preserve">Royal Commission into the Protection </w:t>
      </w:r>
      <w:r w:rsidR="00837ECF">
        <w:rPr>
          <w:rFonts w:ascii="Times New Roman" w:hAnsi="Times New Roman"/>
          <w:i/>
        </w:rPr>
        <w:t xml:space="preserve">and Detention </w:t>
      </w:r>
      <w:r w:rsidRPr="00366164">
        <w:rPr>
          <w:rFonts w:ascii="Times New Roman" w:hAnsi="Times New Roman"/>
          <w:i/>
        </w:rPr>
        <w:t>of Children in the Northern Territory</w:t>
      </w:r>
      <w:r w:rsidRPr="002659EC">
        <w:rPr>
          <w:rFonts w:ascii="Times New Roman" w:hAnsi="Times New Roman"/>
          <w:i/>
        </w:rPr>
        <w:t xml:space="preserve"> </w:t>
      </w:r>
      <w:r w:rsidR="002659EC" w:rsidRPr="002659EC">
        <w:rPr>
          <w:rFonts w:ascii="Times New Roman" w:hAnsi="Times New Roman"/>
          <w:i/>
        </w:rPr>
        <w:t>2017</w:t>
      </w:r>
      <w:r w:rsidR="002659EC">
        <w:rPr>
          <w:rFonts w:ascii="Times New Roman" w:hAnsi="Times New Roman"/>
        </w:rPr>
        <w:t xml:space="preserve"> </w:t>
      </w:r>
      <w:r>
        <w:rPr>
          <w:rFonts w:ascii="Times New Roman" w:hAnsi="Times New Roman"/>
        </w:rPr>
        <w:t>(Royal Commission)</w:t>
      </w:r>
      <w:r w:rsidRPr="00366164">
        <w:rPr>
          <w:rFonts w:ascii="Times New Roman" w:hAnsi="Times New Roman"/>
        </w:rPr>
        <w:t>.</w:t>
      </w:r>
      <w:r>
        <w:rPr>
          <w:rFonts w:ascii="Times New Roman" w:hAnsi="Times New Roman"/>
        </w:rPr>
        <w:t xml:space="preserve"> </w:t>
      </w:r>
      <w:r w:rsidRPr="00C60C5C">
        <w:rPr>
          <w:rFonts w:ascii="Times New Roman" w:hAnsi="Times New Roman"/>
        </w:rPr>
        <w:t>The PC commenced its study on 1</w:t>
      </w:r>
      <w:r w:rsidR="002659EC">
        <w:rPr>
          <w:rFonts w:ascii="Times New Roman" w:hAnsi="Times New Roman"/>
        </w:rPr>
        <w:t> </w:t>
      </w:r>
      <w:r w:rsidRPr="00C60C5C">
        <w:rPr>
          <w:rFonts w:ascii="Times New Roman" w:hAnsi="Times New Roman"/>
        </w:rPr>
        <w:t>April</w:t>
      </w:r>
      <w:r w:rsidR="002659EC">
        <w:rPr>
          <w:rFonts w:ascii="Times New Roman" w:hAnsi="Times New Roman"/>
        </w:rPr>
        <w:t> </w:t>
      </w:r>
      <w:r w:rsidRPr="00C60C5C">
        <w:rPr>
          <w:rFonts w:ascii="Times New Roman" w:hAnsi="Times New Roman"/>
        </w:rPr>
        <w:t>2019 and publicly released its final report on 8 April 2020.</w:t>
      </w:r>
    </w:p>
    <w:p w14:paraId="7D36D6CE" w14:textId="6BEB2839" w:rsidR="0059102A" w:rsidRPr="000D7078" w:rsidRDefault="0059102A" w:rsidP="0059102A">
      <w:pPr>
        <w:pStyle w:val="ListParagraph"/>
        <w:keepLines/>
        <w:numPr>
          <w:ilvl w:val="0"/>
          <w:numId w:val="2"/>
        </w:numPr>
        <w:spacing w:after="0" w:line="240" w:lineRule="auto"/>
        <w:ind w:left="357" w:hanging="357"/>
        <w:contextualSpacing w:val="0"/>
        <w:rPr>
          <w:rFonts w:ascii="Times New Roman" w:hAnsi="Times New Roman"/>
        </w:rPr>
      </w:pPr>
      <w:r w:rsidRPr="000D7078">
        <w:rPr>
          <w:rFonts w:ascii="Times New Roman" w:hAnsi="Times New Roman"/>
        </w:rPr>
        <w:t>Consistent with the</w:t>
      </w:r>
      <w:r>
        <w:rPr>
          <w:rFonts w:ascii="Times New Roman" w:hAnsi="Times New Roman"/>
        </w:rPr>
        <w:t xml:space="preserve"> </w:t>
      </w:r>
      <w:r w:rsidR="002659EC">
        <w:rPr>
          <w:rFonts w:ascii="Times New Roman" w:hAnsi="Times New Roman"/>
        </w:rPr>
        <w:t>R</w:t>
      </w:r>
      <w:r>
        <w:rPr>
          <w:rFonts w:ascii="Times New Roman" w:hAnsi="Times New Roman"/>
        </w:rPr>
        <w:t>oyal Commission’s findings, the PC’s final report</w:t>
      </w:r>
      <w:r w:rsidRPr="000D7078">
        <w:rPr>
          <w:rFonts w:ascii="Times New Roman" w:hAnsi="Times New Roman"/>
        </w:rPr>
        <w:t xml:space="preserve"> outlines that the Australian and Northern Territory Governments make funding decisions in relative isolation, leading to fragmentation, inefficien</w:t>
      </w:r>
      <w:r>
        <w:rPr>
          <w:rFonts w:ascii="Times New Roman" w:hAnsi="Times New Roman"/>
        </w:rPr>
        <w:t>cies in service delivery, and significant</w:t>
      </w:r>
      <w:r w:rsidRPr="000D7078">
        <w:rPr>
          <w:rFonts w:ascii="Times New Roman" w:hAnsi="Times New Roman"/>
        </w:rPr>
        <w:t xml:space="preserve"> overlap in expenditure</w:t>
      </w:r>
      <w:r>
        <w:rPr>
          <w:rFonts w:ascii="Times New Roman" w:hAnsi="Times New Roman"/>
        </w:rPr>
        <w:t xml:space="preserve"> effort</w:t>
      </w:r>
      <w:r w:rsidRPr="000D7078">
        <w:rPr>
          <w:rFonts w:ascii="Times New Roman" w:hAnsi="Times New Roman"/>
        </w:rPr>
        <w:t xml:space="preserve">. </w:t>
      </w:r>
    </w:p>
    <w:p w14:paraId="482D571C" w14:textId="4BD906CF" w:rsidR="00574B49" w:rsidRPr="00E57F7C" w:rsidRDefault="00A73D6C" w:rsidP="00D208EF">
      <w:pPr>
        <w:pStyle w:val="ListParagraph"/>
        <w:keepLines/>
        <w:numPr>
          <w:ilvl w:val="0"/>
          <w:numId w:val="2"/>
        </w:numPr>
        <w:spacing w:after="0" w:line="240" w:lineRule="auto"/>
        <w:ind w:left="357" w:hanging="357"/>
        <w:contextualSpacing w:val="0"/>
        <w:rPr>
          <w:rFonts w:ascii="Times New Roman" w:hAnsi="Times New Roman"/>
        </w:rPr>
      </w:pPr>
      <w:r w:rsidRPr="00A73D6C">
        <w:rPr>
          <w:rFonts w:ascii="Times New Roman" w:hAnsi="Times New Roman"/>
        </w:rPr>
        <w:t>The Australian Government</w:t>
      </w:r>
      <w:r>
        <w:rPr>
          <w:rFonts w:ascii="Times New Roman" w:hAnsi="Times New Roman"/>
        </w:rPr>
        <w:t xml:space="preserve"> </w:t>
      </w:r>
      <w:r w:rsidR="00D4422F">
        <w:rPr>
          <w:rFonts w:ascii="Times New Roman" w:hAnsi="Times New Roman"/>
        </w:rPr>
        <w:t>recognises</w:t>
      </w:r>
      <w:r>
        <w:rPr>
          <w:rFonts w:ascii="Times New Roman" w:hAnsi="Times New Roman"/>
        </w:rPr>
        <w:t xml:space="preserve"> that many families </w:t>
      </w:r>
      <w:r w:rsidRPr="00A73D6C">
        <w:rPr>
          <w:rFonts w:ascii="Times New Roman" w:hAnsi="Times New Roman"/>
        </w:rPr>
        <w:t xml:space="preserve">in the Northern Territory face significant </w:t>
      </w:r>
      <w:r w:rsidR="00816D31">
        <w:rPr>
          <w:rFonts w:ascii="Times New Roman" w:hAnsi="Times New Roman"/>
        </w:rPr>
        <w:t>adversity</w:t>
      </w:r>
      <w:r w:rsidRPr="00A73D6C">
        <w:rPr>
          <w:rFonts w:ascii="Times New Roman" w:hAnsi="Times New Roman"/>
        </w:rPr>
        <w:t xml:space="preserve">, </w:t>
      </w:r>
      <w:r>
        <w:rPr>
          <w:rFonts w:ascii="Times New Roman" w:hAnsi="Times New Roman"/>
        </w:rPr>
        <w:t xml:space="preserve">with children in the </w:t>
      </w:r>
      <w:r w:rsidR="002659EC">
        <w:rPr>
          <w:rFonts w:ascii="Times New Roman" w:hAnsi="Times New Roman"/>
        </w:rPr>
        <w:t>Northern Territory</w:t>
      </w:r>
      <w:r>
        <w:rPr>
          <w:rFonts w:ascii="Times New Roman" w:hAnsi="Times New Roman"/>
        </w:rPr>
        <w:t xml:space="preserve"> being </w:t>
      </w:r>
      <w:r w:rsidRPr="00A73D6C">
        <w:rPr>
          <w:rFonts w:ascii="Times New Roman" w:hAnsi="Times New Roman"/>
        </w:rPr>
        <w:t>more likely than Australian children overall to come into contact with the child protection system</w:t>
      </w:r>
      <w:r>
        <w:rPr>
          <w:rFonts w:ascii="Times New Roman" w:hAnsi="Times New Roman"/>
        </w:rPr>
        <w:t xml:space="preserve"> and experience</w:t>
      </w:r>
      <w:r w:rsidR="00C8714F">
        <w:rPr>
          <w:rFonts w:ascii="Times New Roman" w:hAnsi="Times New Roman"/>
        </w:rPr>
        <w:t xml:space="preserve"> high levels of</w:t>
      </w:r>
      <w:r>
        <w:rPr>
          <w:rFonts w:ascii="Times New Roman" w:hAnsi="Times New Roman"/>
        </w:rPr>
        <w:t xml:space="preserve"> socioeconomic disadvantage</w:t>
      </w:r>
      <w:r w:rsidR="002E25D1">
        <w:rPr>
          <w:rFonts w:ascii="Times New Roman" w:hAnsi="Times New Roman"/>
        </w:rPr>
        <w:t>.</w:t>
      </w:r>
      <w:r w:rsidR="00694F1B">
        <w:rPr>
          <w:rStyle w:val="FootnoteReference"/>
          <w:rFonts w:ascii="Times New Roman" w:hAnsi="Times New Roman"/>
        </w:rPr>
        <w:footnoteReference w:id="2"/>
      </w:r>
      <w:r>
        <w:rPr>
          <w:rFonts w:ascii="Times New Roman" w:hAnsi="Times New Roman"/>
        </w:rPr>
        <w:t xml:space="preserve"> </w:t>
      </w:r>
      <w:r w:rsidR="00A1756F">
        <w:rPr>
          <w:rFonts w:ascii="Times New Roman" w:hAnsi="Times New Roman"/>
        </w:rPr>
        <w:t xml:space="preserve">The report also highlights </w:t>
      </w:r>
      <w:r w:rsidR="00A1756F" w:rsidRPr="0059102A">
        <w:rPr>
          <w:rFonts w:ascii="Times New Roman" w:hAnsi="Times New Roman"/>
        </w:rPr>
        <w:t xml:space="preserve">that </w:t>
      </w:r>
      <w:r w:rsidRPr="00A1756F">
        <w:rPr>
          <w:rFonts w:ascii="Times New Roman" w:hAnsi="Times New Roman"/>
        </w:rPr>
        <w:t>c</w:t>
      </w:r>
      <w:r w:rsidR="00D26BC0" w:rsidRPr="00A1756F">
        <w:rPr>
          <w:rFonts w:ascii="Times New Roman" w:hAnsi="Times New Roman"/>
        </w:rPr>
        <w:t>hildren and families in the Northern Territory</w:t>
      </w:r>
      <w:r w:rsidR="00D4422F" w:rsidRPr="00A1756F">
        <w:rPr>
          <w:rFonts w:ascii="Times New Roman" w:hAnsi="Times New Roman"/>
        </w:rPr>
        <w:t xml:space="preserve">, </w:t>
      </w:r>
      <w:r w:rsidR="00D26BC0" w:rsidRPr="00A1756F">
        <w:rPr>
          <w:rFonts w:ascii="Times New Roman" w:hAnsi="Times New Roman"/>
        </w:rPr>
        <w:t xml:space="preserve">and the services that support them, face various </w:t>
      </w:r>
      <w:r w:rsidR="00DF1946" w:rsidRPr="00A1756F">
        <w:rPr>
          <w:rFonts w:ascii="Times New Roman" w:hAnsi="Times New Roman"/>
        </w:rPr>
        <w:t>challenges</w:t>
      </w:r>
      <w:r w:rsidR="00D26BC0" w:rsidRPr="00A1756F">
        <w:rPr>
          <w:rFonts w:ascii="Times New Roman" w:hAnsi="Times New Roman"/>
        </w:rPr>
        <w:t xml:space="preserve"> </w:t>
      </w:r>
      <w:r w:rsidRPr="00A1756F">
        <w:rPr>
          <w:rFonts w:ascii="Times New Roman" w:hAnsi="Times New Roman"/>
        </w:rPr>
        <w:t xml:space="preserve">which </w:t>
      </w:r>
      <w:r w:rsidR="00D26BC0" w:rsidRPr="00A1756F">
        <w:rPr>
          <w:rFonts w:ascii="Times New Roman" w:hAnsi="Times New Roman"/>
        </w:rPr>
        <w:t xml:space="preserve">can contribute to </w:t>
      </w:r>
      <w:r w:rsidRPr="00A1756F">
        <w:rPr>
          <w:rFonts w:ascii="Times New Roman" w:hAnsi="Times New Roman"/>
        </w:rPr>
        <w:t xml:space="preserve">and exacerbate </w:t>
      </w:r>
      <w:r w:rsidR="00D26BC0" w:rsidRPr="00A1756F">
        <w:rPr>
          <w:rFonts w:ascii="Times New Roman" w:hAnsi="Times New Roman"/>
        </w:rPr>
        <w:t>poor outcomes</w:t>
      </w:r>
      <w:r>
        <w:rPr>
          <w:rFonts w:ascii="Times New Roman" w:hAnsi="Times New Roman"/>
        </w:rPr>
        <w:t>.</w:t>
      </w:r>
    </w:p>
    <w:p w14:paraId="43C94397" w14:textId="662B8770" w:rsidR="001B284C" w:rsidRDefault="00851B1E" w:rsidP="00D208EF">
      <w:pPr>
        <w:pStyle w:val="ListParagraph"/>
        <w:keepLines/>
        <w:numPr>
          <w:ilvl w:val="0"/>
          <w:numId w:val="2"/>
        </w:numPr>
        <w:spacing w:after="0" w:line="240" w:lineRule="auto"/>
        <w:ind w:left="357" w:hanging="357"/>
        <w:contextualSpacing w:val="0"/>
        <w:rPr>
          <w:rFonts w:ascii="Times New Roman" w:hAnsi="Times New Roman"/>
        </w:rPr>
      </w:pPr>
      <w:r>
        <w:rPr>
          <w:rFonts w:ascii="Times New Roman" w:hAnsi="Times New Roman"/>
        </w:rPr>
        <w:t>T</w:t>
      </w:r>
      <w:r w:rsidR="000D7078" w:rsidRPr="000D7078">
        <w:rPr>
          <w:rFonts w:ascii="Times New Roman" w:hAnsi="Times New Roman"/>
        </w:rPr>
        <w:t>he report</w:t>
      </w:r>
      <w:r w:rsidR="008201F7">
        <w:rPr>
          <w:rFonts w:ascii="Times New Roman" w:hAnsi="Times New Roman"/>
        </w:rPr>
        <w:t xml:space="preserve"> </w:t>
      </w:r>
      <w:r w:rsidR="000D7078" w:rsidRPr="000D7078">
        <w:rPr>
          <w:rFonts w:ascii="Times New Roman" w:hAnsi="Times New Roman"/>
        </w:rPr>
        <w:t xml:space="preserve">acknowledges the significant contribution that the Australian Government makes to services aimed at </w:t>
      </w:r>
      <w:r w:rsidR="00574B49">
        <w:rPr>
          <w:rFonts w:ascii="Times New Roman" w:hAnsi="Times New Roman"/>
        </w:rPr>
        <w:t xml:space="preserve">preventing harm to </w:t>
      </w:r>
      <w:r w:rsidR="000D7078" w:rsidRPr="000D7078">
        <w:rPr>
          <w:rFonts w:ascii="Times New Roman" w:hAnsi="Times New Roman"/>
        </w:rPr>
        <w:t>children and young people in the Northern Territory ($225 million in 2018-19</w:t>
      </w:r>
      <w:r w:rsidR="0059102A">
        <w:rPr>
          <w:rStyle w:val="FootnoteReference"/>
          <w:rFonts w:ascii="Times New Roman" w:hAnsi="Times New Roman"/>
        </w:rPr>
        <w:footnoteReference w:id="3"/>
      </w:r>
      <w:r w:rsidR="000D7078" w:rsidRPr="000D7078">
        <w:rPr>
          <w:rFonts w:ascii="Times New Roman" w:hAnsi="Times New Roman"/>
        </w:rPr>
        <w:t xml:space="preserve">), and notes a number of positive reforms are already being implemented </w:t>
      </w:r>
      <w:r w:rsidR="0098261C">
        <w:rPr>
          <w:rFonts w:ascii="Times New Roman" w:hAnsi="Times New Roman"/>
        </w:rPr>
        <w:t xml:space="preserve">as well as </w:t>
      </w:r>
      <w:r w:rsidR="000D7078" w:rsidRPr="000D7078">
        <w:rPr>
          <w:rFonts w:ascii="Times New Roman" w:hAnsi="Times New Roman"/>
        </w:rPr>
        <w:t xml:space="preserve">pockets of good practice across governments.  </w:t>
      </w:r>
    </w:p>
    <w:p w14:paraId="050B6937" w14:textId="65115121" w:rsidR="001B284C" w:rsidRDefault="00533D55" w:rsidP="00D208EF">
      <w:pPr>
        <w:pStyle w:val="ListParagraph"/>
        <w:keepLines/>
        <w:numPr>
          <w:ilvl w:val="0"/>
          <w:numId w:val="2"/>
        </w:numPr>
        <w:spacing w:after="0" w:line="240" w:lineRule="auto"/>
        <w:ind w:left="357" w:hanging="357"/>
        <w:contextualSpacing w:val="0"/>
        <w:rPr>
          <w:rFonts w:ascii="Times New Roman" w:hAnsi="Times New Roman"/>
        </w:rPr>
      </w:pPr>
      <w:r>
        <w:rPr>
          <w:rFonts w:ascii="Times New Roman" w:hAnsi="Times New Roman"/>
        </w:rPr>
        <w:t>T</w:t>
      </w:r>
      <w:r w:rsidR="001B284C" w:rsidRPr="007278C3">
        <w:rPr>
          <w:rFonts w:ascii="Times New Roman" w:hAnsi="Times New Roman"/>
        </w:rPr>
        <w:t xml:space="preserve">he Australian and Northern Territory Governments have </w:t>
      </w:r>
      <w:r>
        <w:rPr>
          <w:rFonts w:ascii="Times New Roman" w:hAnsi="Times New Roman"/>
        </w:rPr>
        <w:t xml:space="preserve">been </w:t>
      </w:r>
      <w:r w:rsidR="001B284C" w:rsidRPr="007278C3">
        <w:rPr>
          <w:rFonts w:ascii="Times New Roman" w:hAnsi="Times New Roman"/>
        </w:rPr>
        <w:t>work</w:t>
      </w:r>
      <w:r>
        <w:rPr>
          <w:rFonts w:ascii="Times New Roman" w:hAnsi="Times New Roman"/>
        </w:rPr>
        <w:t>ing to</w:t>
      </w:r>
      <w:r w:rsidR="00E56D52">
        <w:rPr>
          <w:rFonts w:ascii="Times New Roman" w:hAnsi="Times New Roman"/>
        </w:rPr>
        <w:t>g</w:t>
      </w:r>
      <w:r>
        <w:rPr>
          <w:rFonts w:ascii="Times New Roman" w:hAnsi="Times New Roman"/>
        </w:rPr>
        <w:t xml:space="preserve">ether </w:t>
      </w:r>
      <w:r w:rsidR="001B284C" w:rsidRPr="007278C3">
        <w:rPr>
          <w:rFonts w:ascii="Times New Roman" w:hAnsi="Times New Roman"/>
        </w:rPr>
        <w:t xml:space="preserve">to deliver </w:t>
      </w:r>
      <w:r w:rsidR="001B284C">
        <w:rPr>
          <w:rFonts w:ascii="Times New Roman" w:hAnsi="Times New Roman"/>
        </w:rPr>
        <w:t xml:space="preserve">on </w:t>
      </w:r>
      <w:r w:rsidR="001B284C" w:rsidRPr="007278C3">
        <w:rPr>
          <w:rFonts w:ascii="Times New Roman" w:hAnsi="Times New Roman"/>
        </w:rPr>
        <w:t>our agreed Royal Commission recommendations</w:t>
      </w:r>
      <w:r>
        <w:rPr>
          <w:rFonts w:ascii="Times New Roman" w:hAnsi="Times New Roman"/>
        </w:rPr>
        <w:t>. T</w:t>
      </w:r>
      <w:r w:rsidR="001B284C" w:rsidRPr="007278C3">
        <w:rPr>
          <w:rFonts w:ascii="Times New Roman" w:hAnsi="Times New Roman"/>
        </w:rPr>
        <w:t xml:space="preserve">he PC’s </w:t>
      </w:r>
      <w:r w:rsidR="001B284C">
        <w:rPr>
          <w:rFonts w:ascii="Times New Roman" w:hAnsi="Times New Roman"/>
        </w:rPr>
        <w:t>final report</w:t>
      </w:r>
      <w:r w:rsidR="001B284C" w:rsidRPr="007278C3">
        <w:rPr>
          <w:rFonts w:ascii="Times New Roman" w:hAnsi="Times New Roman"/>
        </w:rPr>
        <w:t xml:space="preserve"> </w:t>
      </w:r>
      <w:r w:rsidR="00EF6979">
        <w:rPr>
          <w:rFonts w:ascii="Times New Roman" w:hAnsi="Times New Roman"/>
        </w:rPr>
        <w:t xml:space="preserve">– with 11 recommendations across four reform areas – </w:t>
      </w:r>
      <w:r w:rsidR="00E56D52">
        <w:rPr>
          <w:rFonts w:ascii="Times New Roman" w:hAnsi="Times New Roman"/>
        </w:rPr>
        <w:t xml:space="preserve">will </w:t>
      </w:r>
      <w:r w:rsidR="001B284C" w:rsidRPr="007278C3">
        <w:rPr>
          <w:rFonts w:ascii="Times New Roman" w:hAnsi="Times New Roman"/>
        </w:rPr>
        <w:t xml:space="preserve">assist both governments as we </w:t>
      </w:r>
      <w:r w:rsidR="00E56D52">
        <w:rPr>
          <w:rFonts w:ascii="Times New Roman" w:hAnsi="Times New Roman"/>
        </w:rPr>
        <w:t xml:space="preserve">continue to collaborate </w:t>
      </w:r>
      <w:r w:rsidR="009060AE">
        <w:rPr>
          <w:rFonts w:ascii="Times New Roman" w:hAnsi="Times New Roman"/>
        </w:rPr>
        <w:t xml:space="preserve">on </w:t>
      </w:r>
      <w:r w:rsidR="00E56D52">
        <w:rPr>
          <w:rFonts w:ascii="Times New Roman" w:hAnsi="Times New Roman"/>
        </w:rPr>
        <w:t>progress</w:t>
      </w:r>
      <w:r w:rsidR="009060AE">
        <w:rPr>
          <w:rFonts w:ascii="Times New Roman" w:hAnsi="Times New Roman"/>
        </w:rPr>
        <w:t>ing</w:t>
      </w:r>
      <w:r w:rsidR="00E56D52">
        <w:rPr>
          <w:rFonts w:ascii="Times New Roman" w:hAnsi="Times New Roman"/>
        </w:rPr>
        <w:t xml:space="preserve"> important</w:t>
      </w:r>
      <w:r w:rsidR="001B284C" w:rsidRPr="007278C3">
        <w:rPr>
          <w:rFonts w:ascii="Times New Roman" w:hAnsi="Times New Roman"/>
        </w:rPr>
        <w:t xml:space="preserve"> reforms </w:t>
      </w:r>
      <w:r w:rsidR="00E56D52">
        <w:rPr>
          <w:rFonts w:ascii="Times New Roman" w:hAnsi="Times New Roman"/>
        </w:rPr>
        <w:t xml:space="preserve">for </w:t>
      </w:r>
      <w:r w:rsidR="000F20C1">
        <w:rPr>
          <w:rFonts w:ascii="Times New Roman" w:hAnsi="Times New Roman"/>
        </w:rPr>
        <w:t xml:space="preserve">Northern Territory </w:t>
      </w:r>
      <w:r w:rsidR="00E56D52">
        <w:rPr>
          <w:rFonts w:ascii="Times New Roman" w:hAnsi="Times New Roman"/>
        </w:rPr>
        <w:t xml:space="preserve">children </w:t>
      </w:r>
      <w:r w:rsidR="000F20C1">
        <w:rPr>
          <w:rFonts w:ascii="Times New Roman" w:hAnsi="Times New Roman"/>
        </w:rPr>
        <w:t>and families</w:t>
      </w:r>
      <w:r w:rsidR="00E56D52">
        <w:rPr>
          <w:rFonts w:ascii="Times New Roman" w:hAnsi="Times New Roman"/>
        </w:rPr>
        <w:t>.</w:t>
      </w:r>
      <w:r w:rsidR="001B284C" w:rsidRPr="007278C3">
        <w:rPr>
          <w:rFonts w:ascii="Times New Roman" w:hAnsi="Times New Roman"/>
        </w:rPr>
        <w:t xml:space="preserve"> </w:t>
      </w:r>
    </w:p>
    <w:p w14:paraId="21D00EE4" w14:textId="5378519B" w:rsidR="00DE272C" w:rsidRPr="008458BE" w:rsidRDefault="002659EC" w:rsidP="003D2FFB">
      <w:pPr>
        <w:pStyle w:val="Heading1"/>
        <w:keepLines/>
        <w:spacing w:before="240" w:after="0"/>
        <w:contextualSpacing w:val="0"/>
        <w:rPr>
          <w:rFonts w:ascii="Times New Roman" w:hAnsi="Times New Roman" w:cs="Times New Roman"/>
          <w:b/>
        </w:rPr>
      </w:pPr>
      <w:bookmarkStart w:id="7" w:name="_Toc45800456"/>
      <w:r>
        <w:rPr>
          <w:rFonts w:ascii="Times New Roman" w:hAnsi="Times New Roman" w:cs="Times New Roman"/>
          <w:b/>
        </w:rPr>
        <w:t>Government P</w:t>
      </w:r>
      <w:r w:rsidR="00F17374" w:rsidRPr="008458BE">
        <w:rPr>
          <w:rFonts w:ascii="Times New Roman" w:hAnsi="Times New Roman" w:cs="Times New Roman"/>
          <w:b/>
        </w:rPr>
        <w:t>osition</w:t>
      </w:r>
      <w:bookmarkEnd w:id="7"/>
    </w:p>
    <w:p w14:paraId="0B4DC8C9" w14:textId="147D06A5" w:rsidR="00A819D0" w:rsidRPr="00E57F7C" w:rsidRDefault="00C93941" w:rsidP="00D208EF">
      <w:pPr>
        <w:pStyle w:val="ListParagraph"/>
        <w:keepLines/>
        <w:numPr>
          <w:ilvl w:val="0"/>
          <w:numId w:val="2"/>
        </w:numPr>
        <w:spacing w:after="0" w:line="240" w:lineRule="auto"/>
        <w:ind w:left="567" w:hanging="567"/>
        <w:contextualSpacing w:val="0"/>
        <w:rPr>
          <w:rFonts w:ascii="Times New Roman" w:hAnsi="Times New Roman"/>
        </w:rPr>
      </w:pPr>
      <w:r>
        <w:rPr>
          <w:rFonts w:ascii="Times New Roman" w:hAnsi="Times New Roman"/>
        </w:rPr>
        <w:t xml:space="preserve">The Australian Government </w:t>
      </w:r>
      <w:r w:rsidR="00C60C5C">
        <w:rPr>
          <w:rFonts w:ascii="Times New Roman" w:hAnsi="Times New Roman"/>
        </w:rPr>
        <w:t>supports</w:t>
      </w:r>
      <w:r w:rsidR="004000D2">
        <w:rPr>
          <w:rFonts w:ascii="Times New Roman" w:hAnsi="Times New Roman"/>
        </w:rPr>
        <w:t xml:space="preserve"> in-principle </w:t>
      </w:r>
      <w:r>
        <w:rPr>
          <w:rFonts w:ascii="Times New Roman" w:hAnsi="Times New Roman"/>
        </w:rPr>
        <w:t xml:space="preserve">the PC’s final report, </w:t>
      </w:r>
      <w:r w:rsidR="00C60C5C">
        <w:rPr>
          <w:rFonts w:ascii="Times New Roman" w:hAnsi="Times New Roman"/>
        </w:rPr>
        <w:t xml:space="preserve">including the areas of reform outlined. However, </w:t>
      </w:r>
      <w:r w:rsidR="00E56D52">
        <w:rPr>
          <w:rFonts w:ascii="Times New Roman" w:hAnsi="Times New Roman"/>
        </w:rPr>
        <w:t>while</w:t>
      </w:r>
      <w:r w:rsidR="00E56D52" w:rsidRPr="00C60C5C">
        <w:rPr>
          <w:rFonts w:ascii="Times New Roman" w:hAnsi="Times New Roman"/>
        </w:rPr>
        <w:t xml:space="preserve"> </w:t>
      </w:r>
      <w:r w:rsidRPr="00C60C5C">
        <w:rPr>
          <w:rFonts w:ascii="Times New Roman" w:hAnsi="Times New Roman"/>
        </w:rPr>
        <w:t>holding significant merit, the P</w:t>
      </w:r>
      <w:r w:rsidR="004000D2" w:rsidRPr="00C60C5C">
        <w:rPr>
          <w:rFonts w:ascii="Times New Roman" w:hAnsi="Times New Roman"/>
        </w:rPr>
        <w:t xml:space="preserve">C’s suggested reforms also </w:t>
      </w:r>
      <w:r w:rsidR="003544E4">
        <w:rPr>
          <w:rFonts w:ascii="Times New Roman" w:hAnsi="Times New Roman"/>
        </w:rPr>
        <w:t>introduce additional</w:t>
      </w:r>
      <w:r w:rsidR="00C71B5F" w:rsidRPr="00C60C5C">
        <w:rPr>
          <w:rFonts w:ascii="Times New Roman" w:hAnsi="Times New Roman"/>
        </w:rPr>
        <w:t xml:space="preserve"> </w:t>
      </w:r>
      <w:r w:rsidR="00E56D52">
        <w:rPr>
          <w:rFonts w:ascii="Times New Roman" w:hAnsi="Times New Roman"/>
        </w:rPr>
        <w:t xml:space="preserve">operational </w:t>
      </w:r>
      <w:r w:rsidR="003544E4">
        <w:rPr>
          <w:rFonts w:ascii="Times New Roman" w:hAnsi="Times New Roman"/>
        </w:rPr>
        <w:t xml:space="preserve">and strategic </w:t>
      </w:r>
      <w:r w:rsidR="00135C5F" w:rsidRPr="00C60C5C">
        <w:rPr>
          <w:rFonts w:ascii="Times New Roman" w:hAnsi="Times New Roman"/>
        </w:rPr>
        <w:t>complexity</w:t>
      </w:r>
      <w:r w:rsidRPr="00C60C5C">
        <w:rPr>
          <w:rFonts w:ascii="Times New Roman" w:hAnsi="Times New Roman"/>
        </w:rPr>
        <w:t>.</w:t>
      </w:r>
      <w:r w:rsidR="00C60C5C">
        <w:rPr>
          <w:rFonts w:ascii="Times New Roman" w:hAnsi="Times New Roman"/>
        </w:rPr>
        <w:t xml:space="preserve"> As a result, d</w:t>
      </w:r>
      <w:r w:rsidRPr="00C60C5C">
        <w:rPr>
          <w:rFonts w:ascii="Times New Roman" w:hAnsi="Times New Roman"/>
        </w:rPr>
        <w:t>etailed consideration of each recommen</w:t>
      </w:r>
      <w:r w:rsidR="00C8714F" w:rsidRPr="00C60C5C">
        <w:rPr>
          <w:rFonts w:ascii="Times New Roman" w:hAnsi="Times New Roman"/>
        </w:rPr>
        <w:t>dation, including risks, timing</w:t>
      </w:r>
      <w:r w:rsidR="003544E4">
        <w:rPr>
          <w:rFonts w:ascii="Times New Roman" w:hAnsi="Times New Roman"/>
        </w:rPr>
        <w:t>, policy alignment</w:t>
      </w:r>
      <w:r w:rsidR="00B3452E">
        <w:rPr>
          <w:rFonts w:ascii="Times New Roman" w:hAnsi="Times New Roman"/>
        </w:rPr>
        <w:t xml:space="preserve">, </w:t>
      </w:r>
      <w:r w:rsidR="00B3452E" w:rsidRPr="00E57F7C">
        <w:rPr>
          <w:rFonts w:ascii="Times New Roman" w:hAnsi="Times New Roman"/>
        </w:rPr>
        <w:t>capacity</w:t>
      </w:r>
      <w:r w:rsidRPr="00C60C5C">
        <w:rPr>
          <w:rFonts w:ascii="Times New Roman" w:hAnsi="Times New Roman"/>
        </w:rPr>
        <w:t xml:space="preserve"> </w:t>
      </w:r>
      <w:r w:rsidR="0059102A">
        <w:rPr>
          <w:rFonts w:ascii="Times New Roman" w:hAnsi="Times New Roman"/>
        </w:rPr>
        <w:t xml:space="preserve">building </w:t>
      </w:r>
      <w:r w:rsidRPr="00C60C5C">
        <w:rPr>
          <w:rFonts w:ascii="Times New Roman" w:hAnsi="Times New Roman"/>
        </w:rPr>
        <w:t xml:space="preserve">and resourcing requirements </w:t>
      </w:r>
      <w:r w:rsidR="003544E4">
        <w:rPr>
          <w:rFonts w:ascii="Times New Roman" w:hAnsi="Times New Roman"/>
        </w:rPr>
        <w:t xml:space="preserve">by each agency </w:t>
      </w:r>
      <w:r w:rsidRPr="00C60C5C">
        <w:rPr>
          <w:rFonts w:ascii="Times New Roman" w:hAnsi="Times New Roman"/>
        </w:rPr>
        <w:t xml:space="preserve">will be </w:t>
      </w:r>
      <w:r w:rsidR="00DD781E" w:rsidRPr="00C60C5C">
        <w:rPr>
          <w:rFonts w:ascii="Times New Roman" w:hAnsi="Times New Roman"/>
        </w:rPr>
        <w:t>essential</w:t>
      </w:r>
      <w:r w:rsidRPr="00C60C5C">
        <w:rPr>
          <w:rFonts w:ascii="Times New Roman" w:hAnsi="Times New Roman"/>
        </w:rPr>
        <w:t xml:space="preserve"> for steady</w:t>
      </w:r>
      <w:r w:rsidR="003544E4">
        <w:rPr>
          <w:rFonts w:ascii="Times New Roman" w:hAnsi="Times New Roman"/>
        </w:rPr>
        <w:t>,</w:t>
      </w:r>
      <w:r w:rsidRPr="00C60C5C">
        <w:rPr>
          <w:rFonts w:ascii="Times New Roman" w:hAnsi="Times New Roman"/>
        </w:rPr>
        <w:t xml:space="preserve"> </w:t>
      </w:r>
      <w:r w:rsidR="008D020C">
        <w:rPr>
          <w:rFonts w:ascii="Times New Roman" w:hAnsi="Times New Roman"/>
        </w:rPr>
        <w:t xml:space="preserve">realistic </w:t>
      </w:r>
      <w:r w:rsidR="003544E4">
        <w:rPr>
          <w:rFonts w:ascii="Times New Roman" w:hAnsi="Times New Roman"/>
        </w:rPr>
        <w:t>and informed</w:t>
      </w:r>
      <w:r w:rsidRPr="00C60C5C">
        <w:rPr>
          <w:rFonts w:ascii="Times New Roman" w:hAnsi="Times New Roman"/>
        </w:rPr>
        <w:t xml:space="preserve"> </w:t>
      </w:r>
      <w:r w:rsidR="0059102A" w:rsidRPr="00C60C5C">
        <w:rPr>
          <w:rFonts w:ascii="Times New Roman" w:hAnsi="Times New Roman"/>
        </w:rPr>
        <w:t>plan</w:t>
      </w:r>
      <w:r w:rsidR="0059102A">
        <w:rPr>
          <w:rFonts w:ascii="Times New Roman" w:hAnsi="Times New Roman"/>
        </w:rPr>
        <w:t>ning and</w:t>
      </w:r>
      <w:r w:rsidR="0059102A" w:rsidRPr="00C60C5C">
        <w:rPr>
          <w:rFonts w:ascii="Times New Roman" w:hAnsi="Times New Roman"/>
        </w:rPr>
        <w:t xml:space="preserve"> </w:t>
      </w:r>
      <w:r w:rsidRPr="00C60C5C">
        <w:rPr>
          <w:rFonts w:ascii="Times New Roman" w:hAnsi="Times New Roman"/>
        </w:rPr>
        <w:t>implementation.</w:t>
      </w:r>
    </w:p>
    <w:p w14:paraId="57EABEF3" w14:textId="706107B9" w:rsidR="00B179E0" w:rsidRPr="003D2FFB" w:rsidRDefault="00B179E0" w:rsidP="003D2FFB">
      <w:pPr>
        <w:pStyle w:val="ListParagraph"/>
        <w:keepLines/>
        <w:numPr>
          <w:ilvl w:val="0"/>
          <w:numId w:val="2"/>
        </w:numPr>
        <w:spacing w:after="0" w:line="240" w:lineRule="auto"/>
        <w:ind w:left="567" w:hanging="567"/>
        <w:contextualSpacing w:val="0"/>
        <w:rPr>
          <w:rFonts w:ascii="Times New Roman" w:hAnsi="Times New Roman"/>
        </w:rPr>
      </w:pPr>
      <w:r w:rsidRPr="00A819D0">
        <w:rPr>
          <w:rFonts w:ascii="Times New Roman" w:hAnsi="Times New Roman"/>
        </w:rPr>
        <w:t xml:space="preserve">Through our ongoing engagement with the Northern Territory Children and Families Tripartite Forum (Tripartite Forum), the Australian and Northern Territory Governments have established vital </w:t>
      </w:r>
      <w:r w:rsidR="00E56D52" w:rsidRPr="00A819D0">
        <w:rPr>
          <w:rFonts w:ascii="Times New Roman" w:hAnsi="Times New Roman"/>
        </w:rPr>
        <w:t>groundwork</w:t>
      </w:r>
      <w:r w:rsidRPr="00A819D0">
        <w:rPr>
          <w:rFonts w:ascii="Times New Roman" w:hAnsi="Times New Roman"/>
        </w:rPr>
        <w:t xml:space="preserve"> in order to progress </w:t>
      </w:r>
      <w:r w:rsidR="00C60C5C">
        <w:rPr>
          <w:rFonts w:ascii="Times New Roman" w:hAnsi="Times New Roman"/>
        </w:rPr>
        <w:t>a number of</w:t>
      </w:r>
      <w:r w:rsidRPr="00A819D0">
        <w:rPr>
          <w:rFonts w:ascii="Times New Roman" w:hAnsi="Times New Roman"/>
        </w:rPr>
        <w:t xml:space="preserve"> recommendations outlined in the PC’s final report.</w:t>
      </w:r>
    </w:p>
    <w:p w14:paraId="62FD7A12" w14:textId="78BCD606" w:rsidR="00B179E0" w:rsidRPr="00E57F7C" w:rsidRDefault="00E56D52" w:rsidP="00D208EF">
      <w:pPr>
        <w:pStyle w:val="ListParagraph"/>
        <w:keepLines/>
        <w:numPr>
          <w:ilvl w:val="0"/>
          <w:numId w:val="2"/>
        </w:numPr>
        <w:spacing w:after="0" w:line="240" w:lineRule="auto"/>
        <w:ind w:left="567" w:hanging="567"/>
        <w:contextualSpacing w:val="0"/>
        <w:rPr>
          <w:rFonts w:ascii="Times New Roman" w:hAnsi="Times New Roman"/>
        </w:rPr>
      </w:pPr>
      <w:r>
        <w:rPr>
          <w:rFonts w:ascii="Times New Roman" w:hAnsi="Times New Roman"/>
        </w:rPr>
        <w:t>T</w:t>
      </w:r>
      <w:r w:rsidR="00B179E0" w:rsidRPr="00B179E0">
        <w:rPr>
          <w:rFonts w:ascii="Times New Roman" w:hAnsi="Times New Roman"/>
        </w:rPr>
        <w:t xml:space="preserve">his groundwork includes </w:t>
      </w:r>
      <w:r>
        <w:rPr>
          <w:rFonts w:ascii="Times New Roman" w:hAnsi="Times New Roman"/>
        </w:rPr>
        <w:t xml:space="preserve">planning for </w:t>
      </w:r>
      <w:r w:rsidR="00B179E0" w:rsidRPr="00B179E0">
        <w:rPr>
          <w:rFonts w:ascii="Times New Roman" w:hAnsi="Times New Roman"/>
        </w:rPr>
        <w:t>a joint or ‘</w:t>
      </w:r>
      <w:r w:rsidR="006A3D80">
        <w:rPr>
          <w:rFonts w:ascii="Times New Roman" w:hAnsi="Times New Roman"/>
        </w:rPr>
        <w:t>c</w:t>
      </w:r>
      <w:r w:rsidR="00096EDB" w:rsidRPr="00B179E0">
        <w:rPr>
          <w:rFonts w:ascii="Times New Roman" w:hAnsi="Times New Roman"/>
        </w:rPr>
        <w:t xml:space="preserve">oordinated’ </w:t>
      </w:r>
      <w:r w:rsidR="006A3D80">
        <w:rPr>
          <w:rFonts w:ascii="Times New Roman" w:hAnsi="Times New Roman"/>
        </w:rPr>
        <w:t>f</w:t>
      </w:r>
      <w:r w:rsidR="00B179E0" w:rsidRPr="00B179E0">
        <w:rPr>
          <w:rFonts w:ascii="Times New Roman" w:hAnsi="Times New Roman"/>
        </w:rPr>
        <w:t xml:space="preserve">unding </w:t>
      </w:r>
      <w:r w:rsidR="006A3D80">
        <w:rPr>
          <w:rFonts w:ascii="Times New Roman" w:hAnsi="Times New Roman"/>
        </w:rPr>
        <w:t>f</w:t>
      </w:r>
      <w:r w:rsidR="00B179E0" w:rsidRPr="00B179E0">
        <w:rPr>
          <w:rFonts w:ascii="Times New Roman" w:hAnsi="Times New Roman"/>
        </w:rPr>
        <w:t>ramework between the Australian and Northern Territory Governments</w:t>
      </w:r>
      <w:r w:rsidR="006A3D80">
        <w:rPr>
          <w:rFonts w:ascii="Times New Roman" w:hAnsi="Times New Roman"/>
        </w:rPr>
        <w:t xml:space="preserve">, which was </w:t>
      </w:r>
      <w:r w:rsidR="00B179E0" w:rsidRPr="00B179E0">
        <w:rPr>
          <w:rFonts w:ascii="Times New Roman" w:hAnsi="Times New Roman"/>
        </w:rPr>
        <w:t xml:space="preserve">a </w:t>
      </w:r>
      <w:r w:rsidR="00B179E0">
        <w:rPr>
          <w:rFonts w:ascii="Times New Roman" w:hAnsi="Times New Roman"/>
        </w:rPr>
        <w:t xml:space="preserve">key </w:t>
      </w:r>
      <w:r w:rsidR="00B179E0" w:rsidRPr="00B179E0">
        <w:rPr>
          <w:rFonts w:ascii="Times New Roman" w:hAnsi="Times New Roman"/>
        </w:rPr>
        <w:t xml:space="preserve">recommendation </w:t>
      </w:r>
      <w:r w:rsidR="00B179E0">
        <w:rPr>
          <w:rFonts w:ascii="Times New Roman" w:hAnsi="Times New Roman"/>
        </w:rPr>
        <w:t xml:space="preserve">from </w:t>
      </w:r>
      <w:r w:rsidR="006A3D80">
        <w:rPr>
          <w:rFonts w:ascii="Times New Roman" w:hAnsi="Times New Roman"/>
        </w:rPr>
        <w:t>the</w:t>
      </w:r>
      <w:r w:rsidR="00B179E0">
        <w:rPr>
          <w:rFonts w:ascii="Times New Roman" w:hAnsi="Times New Roman"/>
        </w:rPr>
        <w:t xml:space="preserve"> Royal Commission. </w:t>
      </w:r>
      <w:r w:rsidR="00B179E0" w:rsidRPr="00B179E0">
        <w:rPr>
          <w:rFonts w:ascii="Times New Roman" w:hAnsi="Times New Roman"/>
        </w:rPr>
        <w:t>The intent of this framework is to set out an agreed approach to plan, fund and deliver services for families and children in the Northern Territory in a more collaborative way</w:t>
      </w:r>
      <w:r w:rsidR="006A3D80">
        <w:rPr>
          <w:rFonts w:ascii="Times New Roman" w:hAnsi="Times New Roman"/>
        </w:rPr>
        <w:t>, to achieve shared child safety and wellbeing outcomes</w:t>
      </w:r>
      <w:r w:rsidR="00B179E0" w:rsidRPr="00B179E0">
        <w:rPr>
          <w:rFonts w:ascii="Times New Roman" w:hAnsi="Times New Roman"/>
        </w:rPr>
        <w:t>.</w:t>
      </w:r>
    </w:p>
    <w:p w14:paraId="2337D878" w14:textId="0D5C943C" w:rsidR="006E1860" w:rsidRPr="00AD40C4" w:rsidRDefault="006E1860" w:rsidP="006E1860">
      <w:pPr>
        <w:pStyle w:val="ListParagraph"/>
        <w:keepLines/>
        <w:numPr>
          <w:ilvl w:val="0"/>
          <w:numId w:val="2"/>
        </w:numPr>
        <w:spacing w:after="0" w:line="240" w:lineRule="auto"/>
        <w:ind w:left="567" w:hanging="567"/>
        <w:contextualSpacing w:val="0"/>
        <w:rPr>
          <w:rFonts w:ascii="Times New Roman" w:hAnsi="Times New Roman"/>
        </w:rPr>
      </w:pPr>
      <w:r w:rsidRPr="00AD40C4">
        <w:rPr>
          <w:rFonts w:ascii="Times New Roman" w:hAnsi="Times New Roman"/>
        </w:rPr>
        <w:t>Once developed</w:t>
      </w:r>
      <w:r>
        <w:rPr>
          <w:rFonts w:ascii="Times New Roman" w:hAnsi="Times New Roman"/>
        </w:rPr>
        <w:t xml:space="preserve"> and agreed by Government</w:t>
      </w:r>
      <w:r w:rsidRPr="00AD40C4">
        <w:rPr>
          <w:rFonts w:ascii="Times New Roman" w:hAnsi="Times New Roman"/>
        </w:rPr>
        <w:t xml:space="preserve">, the funding framework will </w:t>
      </w:r>
      <w:r w:rsidR="009B0F1A">
        <w:rPr>
          <w:rFonts w:ascii="Times New Roman" w:hAnsi="Times New Roman"/>
        </w:rPr>
        <w:t xml:space="preserve">likely </w:t>
      </w:r>
      <w:r w:rsidRPr="00AD40C4">
        <w:rPr>
          <w:rFonts w:ascii="Times New Roman" w:hAnsi="Times New Roman"/>
        </w:rPr>
        <w:t>form a crucial component of the proposed 10</w:t>
      </w:r>
      <w:r w:rsidRPr="00AD40C4">
        <w:rPr>
          <w:rFonts w:ascii="Times New Roman" w:hAnsi="Times New Roman"/>
        </w:rPr>
        <w:noBreakHyphen/>
        <w:t>year Generational Strategy for Children and Families in the Northern Territory (Generational Strategy). The Generational Strategy was also a recommendation of the Royal Commission</w:t>
      </w:r>
      <w:r w:rsidR="006A3D80">
        <w:rPr>
          <w:rFonts w:ascii="Times New Roman" w:hAnsi="Times New Roman"/>
        </w:rPr>
        <w:t>, and a</w:t>
      </w:r>
      <w:r w:rsidRPr="00AD40C4">
        <w:rPr>
          <w:rFonts w:ascii="Times New Roman" w:hAnsi="Times New Roman"/>
        </w:rPr>
        <w:t xml:space="preserve">ims to create a strategic framework to </w:t>
      </w:r>
      <w:r>
        <w:rPr>
          <w:rFonts w:ascii="Times New Roman" w:hAnsi="Times New Roman"/>
        </w:rPr>
        <w:t xml:space="preserve">govern services based on local/core service delivery models to </w:t>
      </w:r>
      <w:r w:rsidRPr="00AD40C4">
        <w:rPr>
          <w:rFonts w:ascii="Times New Roman" w:hAnsi="Times New Roman"/>
        </w:rPr>
        <w:t xml:space="preserve">improve the lives of families and children in the Northern Territory. </w:t>
      </w:r>
    </w:p>
    <w:p w14:paraId="41837234" w14:textId="44285AE4" w:rsidR="00260C0E" w:rsidRPr="00E57F7C" w:rsidRDefault="00C60C5C" w:rsidP="006E1860">
      <w:pPr>
        <w:pStyle w:val="ListParagraph"/>
        <w:keepLines/>
        <w:numPr>
          <w:ilvl w:val="0"/>
          <w:numId w:val="2"/>
        </w:numPr>
        <w:spacing w:after="0" w:line="240" w:lineRule="auto"/>
        <w:ind w:left="567" w:hanging="567"/>
        <w:contextualSpacing w:val="0"/>
        <w:rPr>
          <w:rFonts w:ascii="Times New Roman" w:hAnsi="Times New Roman"/>
        </w:rPr>
      </w:pPr>
      <w:r w:rsidRPr="00AD40C4">
        <w:rPr>
          <w:rFonts w:ascii="Times New Roman" w:hAnsi="Times New Roman"/>
        </w:rPr>
        <w:t>Ongoing consultation</w:t>
      </w:r>
      <w:r w:rsidR="00871D5A" w:rsidRPr="00AD40C4">
        <w:rPr>
          <w:rFonts w:ascii="Times New Roman" w:hAnsi="Times New Roman"/>
        </w:rPr>
        <w:t xml:space="preserve"> with </w:t>
      </w:r>
      <w:r w:rsidRPr="00AD40C4">
        <w:rPr>
          <w:rFonts w:ascii="Times New Roman" w:hAnsi="Times New Roman"/>
        </w:rPr>
        <w:t>government agencies, s</w:t>
      </w:r>
      <w:r w:rsidR="00EF6979" w:rsidRPr="00AD40C4">
        <w:rPr>
          <w:rFonts w:ascii="Times New Roman" w:hAnsi="Times New Roman"/>
        </w:rPr>
        <w:t xml:space="preserve">ervice providers, </w:t>
      </w:r>
      <w:r w:rsidR="001B0066" w:rsidRPr="00AD40C4">
        <w:rPr>
          <w:rFonts w:ascii="Times New Roman" w:hAnsi="Times New Roman"/>
        </w:rPr>
        <w:t xml:space="preserve">peak </w:t>
      </w:r>
      <w:r w:rsidRPr="00AD40C4">
        <w:rPr>
          <w:rFonts w:ascii="Times New Roman" w:hAnsi="Times New Roman"/>
        </w:rPr>
        <w:t>bodies</w:t>
      </w:r>
      <w:r w:rsidR="001B0066" w:rsidRPr="00AD40C4">
        <w:rPr>
          <w:rFonts w:ascii="Times New Roman" w:hAnsi="Times New Roman"/>
        </w:rPr>
        <w:t xml:space="preserve">, </w:t>
      </w:r>
      <w:r w:rsidR="00871D5A" w:rsidRPr="00AD40C4">
        <w:rPr>
          <w:rFonts w:ascii="Times New Roman" w:hAnsi="Times New Roman"/>
        </w:rPr>
        <w:t xml:space="preserve">and other </w:t>
      </w:r>
      <w:r w:rsidRPr="00AD40C4">
        <w:rPr>
          <w:rFonts w:ascii="Times New Roman" w:hAnsi="Times New Roman"/>
        </w:rPr>
        <w:t xml:space="preserve">relevant </w:t>
      </w:r>
      <w:r w:rsidR="00871D5A" w:rsidRPr="00AD40C4">
        <w:rPr>
          <w:rFonts w:ascii="Times New Roman" w:hAnsi="Times New Roman"/>
        </w:rPr>
        <w:t>stakeholders</w:t>
      </w:r>
      <w:r w:rsidR="00851B1E" w:rsidRPr="00AD40C4">
        <w:rPr>
          <w:rFonts w:ascii="Times New Roman" w:hAnsi="Times New Roman"/>
        </w:rPr>
        <w:t>, including families,</w:t>
      </w:r>
      <w:r w:rsidR="00871D5A" w:rsidRPr="00AD40C4">
        <w:rPr>
          <w:rFonts w:ascii="Times New Roman" w:hAnsi="Times New Roman"/>
        </w:rPr>
        <w:t xml:space="preserve"> will be </w:t>
      </w:r>
      <w:r w:rsidR="00E56D52" w:rsidRPr="00AD40C4">
        <w:rPr>
          <w:rFonts w:ascii="Times New Roman" w:hAnsi="Times New Roman"/>
        </w:rPr>
        <w:t>crucial to</w:t>
      </w:r>
      <w:r w:rsidR="00871D5A" w:rsidRPr="00AD40C4">
        <w:rPr>
          <w:rFonts w:ascii="Times New Roman" w:hAnsi="Times New Roman"/>
        </w:rPr>
        <w:t xml:space="preserve"> ensur</w:t>
      </w:r>
      <w:r w:rsidR="00E56D52" w:rsidRPr="00AD40C4">
        <w:rPr>
          <w:rFonts w:ascii="Times New Roman" w:hAnsi="Times New Roman"/>
        </w:rPr>
        <w:t>ing</w:t>
      </w:r>
      <w:r w:rsidR="00871D5A" w:rsidRPr="00AD40C4">
        <w:rPr>
          <w:rFonts w:ascii="Times New Roman" w:hAnsi="Times New Roman"/>
        </w:rPr>
        <w:t xml:space="preserve"> the Generational Strategy and funding</w:t>
      </w:r>
      <w:r w:rsidR="00525FCC" w:rsidRPr="00AD40C4">
        <w:rPr>
          <w:rFonts w:ascii="Times New Roman" w:hAnsi="Times New Roman"/>
        </w:rPr>
        <w:t xml:space="preserve"> framework address the </w:t>
      </w:r>
      <w:r w:rsidR="00871D5A" w:rsidRPr="00AD40C4">
        <w:rPr>
          <w:rFonts w:ascii="Times New Roman" w:hAnsi="Times New Roman"/>
        </w:rPr>
        <w:t>needs</w:t>
      </w:r>
      <w:r w:rsidR="00302020">
        <w:rPr>
          <w:rFonts w:ascii="Times New Roman" w:hAnsi="Times New Roman"/>
        </w:rPr>
        <w:t>,</w:t>
      </w:r>
      <w:r w:rsidR="00525FCC" w:rsidRPr="00AD40C4">
        <w:rPr>
          <w:rFonts w:ascii="Times New Roman" w:hAnsi="Times New Roman"/>
        </w:rPr>
        <w:t xml:space="preserve"> priorities </w:t>
      </w:r>
      <w:r w:rsidR="00302020">
        <w:rPr>
          <w:rFonts w:ascii="Times New Roman" w:hAnsi="Times New Roman"/>
        </w:rPr>
        <w:t xml:space="preserve">and service preferences </w:t>
      </w:r>
      <w:r w:rsidR="00871D5A" w:rsidRPr="00AD40C4">
        <w:rPr>
          <w:rFonts w:ascii="Times New Roman" w:hAnsi="Times New Roman"/>
        </w:rPr>
        <w:t xml:space="preserve">of </w:t>
      </w:r>
      <w:r w:rsidR="006E1860">
        <w:rPr>
          <w:rFonts w:ascii="Times New Roman" w:hAnsi="Times New Roman"/>
        </w:rPr>
        <w:t>each</w:t>
      </w:r>
      <w:r w:rsidR="00871D5A" w:rsidRPr="00AD40C4">
        <w:rPr>
          <w:rFonts w:ascii="Times New Roman" w:hAnsi="Times New Roman"/>
        </w:rPr>
        <w:t xml:space="preserve"> community</w:t>
      </w:r>
      <w:r w:rsidR="006E1860">
        <w:rPr>
          <w:rFonts w:ascii="Times New Roman" w:hAnsi="Times New Roman"/>
        </w:rPr>
        <w:t xml:space="preserve"> and region</w:t>
      </w:r>
      <w:r w:rsidR="00871D5A" w:rsidRPr="00AD40C4">
        <w:rPr>
          <w:rFonts w:ascii="Times New Roman" w:hAnsi="Times New Roman"/>
        </w:rPr>
        <w:t xml:space="preserve">. </w:t>
      </w:r>
      <w:r w:rsidR="00A1479A" w:rsidRPr="00AD40C4">
        <w:rPr>
          <w:rFonts w:ascii="Times New Roman" w:hAnsi="Times New Roman"/>
        </w:rPr>
        <w:t>Sufficient</w:t>
      </w:r>
      <w:r w:rsidR="00871D5A" w:rsidRPr="00AD40C4">
        <w:rPr>
          <w:rFonts w:ascii="Times New Roman" w:hAnsi="Times New Roman"/>
        </w:rPr>
        <w:t xml:space="preserve"> time is needed to give due </w:t>
      </w:r>
      <w:r w:rsidR="00D66A73">
        <w:rPr>
          <w:rFonts w:ascii="Times New Roman" w:hAnsi="Times New Roman"/>
        </w:rPr>
        <w:t>respect</w:t>
      </w:r>
      <w:r w:rsidR="00D66A73" w:rsidRPr="00AD40C4">
        <w:rPr>
          <w:rFonts w:ascii="Times New Roman" w:hAnsi="Times New Roman"/>
        </w:rPr>
        <w:t xml:space="preserve"> </w:t>
      </w:r>
      <w:r w:rsidR="00871D5A" w:rsidRPr="00AD40C4">
        <w:rPr>
          <w:rFonts w:ascii="Times New Roman" w:hAnsi="Times New Roman"/>
        </w:rPr>
        <w:t>to this process.</w:t>
      </w:r>
    </w:p>
    <w:p w14:paraId="47902CA1" w14:textId="48736E8F" w:rsidR="00106C4B" w:rsidRPr="00D008D5" w:rsidRDefault="00106C4B" w:rsidP="00106C4B">
      <w:pPr>
        <w:pStyle w:val="ListParagraph"/>
        <w:keepLines/>
        <w:numPr>
          <w:ilvl w:val="0"/>
          <w:numId w:val="2"/>
        </w:numPr>
        <w:spacing w:after="120" w:line="240" w:lineRule="auto"/>
        <w:ind w:left="567" w:hanging="567"/>
        <w:contextualSpacing w:val="0"/>
        <w:rPr>
          <w:rFonts w:ascii="Times New Roman" w:hAnsi="Times New Roman"/>
        </w:rPr>
      </w:pPr>
      <w:r w:rsidRPr="00D008D5">
        <w:rPr>
          <w:rFonts w:ascii="Times New Roman" w:hAnsi="Times New Roman"/>
        </w:rPr>
        <w:t xml:space="preserve">We are operating under unusual circumstances.  Responding to the COVID-19 pandemic has demonstrated good practice which can </w:t>
      </w:r>
      <w:r>
        <w:rPr>
          <w:rFonts w:ascii="Times New Roman" w:hAnsi="Times New Roman"/>
        </w:rPr>
        <w:t>be built</w:t>
      </w:r>
      <w:r w:rsidRPr="00D008D5">
        <w:rPr>
          <w:rFonts w:ascii="Times New Roman" w:hAnsi="Times New Roman"/>
        </w:rPr>
        <w:t xml:space="preserve"> on.  It has also </w:t>
      </w:r>
      <w:r w:rsidRPr="001B2234">
        <w:rPr>
          <w:rFonts w:ascii="Times New Roman" w:hAnsi="Times New Roman"/>
        </w:rPr>
        <w:t xml:space="preserve">produced </w:t>
      </w:r>
      <w:r w:rsidRPr="00D008D5">
        <w:rPr>
          <w:rFonts w:ascii="Times New Roman" w:hAnsi="Times New Roman"/>
        </w:rPr>
        <w:t>unprecedented challenges,</w:t>
      </w:r>
      <w:r w:rsidRPr="001B2234">
        <w:rPr>
          <w:rFonts w:ascii="Times New Roman" w:hAnsi="Times New Roman"/>
        </w:rPr>
        <w:t xml:space="preserve"> adding</w:t>
      </w:r>
      <w:r w:rsidRPr="00D008D5">
        <w:rPr>
          <w:rFonts w:ascii="Times New Roman" w:hAnsi="Times New Roman"/>
        </w:rPr>
        <w:t xml:space="preserve"> to the complex</w:t>
      </w:r>
      <w:r w:rsidR="009B0F1A">
        <w:rPr>
          <w:rFonts w:ascii="Times New Roman" w:hAnsi="Times New Roman"/>
        </w:rPr>
        <w:t>ity of reform</w:t>
      </w:r>
      <w:r w:rsidRPr="00D008D5">
        <w:rPr>
          <w:rFonts w:ascii="Times New Roman" w:hAnsi="Times New Roman"/>
        </w:rPr>
        <w:t>.</w:t>
      </w:r>
    </w:p>
    <w:p w14:paraId="1A88083B" w14:textId="155C5CE7" w:rsidR="00AD40C4" w:rsidRPr="00AD40C4" w:rsidRDefault="00875C08" w:rsidP="00D208EF">
      <w:pPr>
        <w:pStyle w:val="ListParagraph"/>
        <w:keepLines/>
        <w:numPr>
          <w:ilvl w:val="0"/>
          <w:numId w:val="2"/>
        </w:numPr>
        <w:spacing w:after="0" w:line="240" w:lineRule="auto"/>
        <w:ind w:left="567" w:hanging="567"/>
        <w:contextualSpacing w:val="0"/>
        <w:rPr>
          <w:rFonts w:ascii="Times New Roman" w:hAnsi="Times New Roman"/>
        </w:rPr>
      </w:pPr>
      <w:r w:rsidRPr="00AD40C4">
        <w:rPr>
          <w:rFonts w:ascii="Times New Roman" w:hAnsi="Times New Roman"/>
        </w:rPr>
        <w:t>Nevertheless, t</w:t>
      </w:r>
      <w:r w:rsidR="00260C0E" w:rsidRPr="00AD40C4">
        <w:rPr>
          <w:rFonts w:ascii="Times New Roman" w:hAnsi="Times New Roman"/>
        </w:rPr>
        <w:t>he Australian Government</w:t>
      </w:r>
      <w:r w:rsidR="008B4915" w:rsidRPr="00AD40C4">
        <w:rPr>
          <w:rFonts w:ascii="Times New Roman" w:hAnsi="Times New Roman"/>
        </w:rPr>
        <w:t xml:space="preserve"> </w:t>
      </w:r>
      <w:r w:rsidR="00260C0E" w:rsidRPr="00AD40C4">
        <w:rPr>
          <w:rFonts w:ascii="Times New Roman" w:hAnsi="Times New Roman"/>
        </w:rPr>
        <w:t xml:space="preserve">is committed </w:t>
      </w:r>
      <w:r w:rsidR="00C71B5F" w:rsidRPr="00AD40C4">
        <w:rPr>
          <w:rFonts w:ascii="Times New Roman" w:hAnsi="Times New Roman"/>
        </w:rPr>
        <w:t>to work</w:t>
      </w:r>
      <w:r w:rsidR="004A2768" w:rsidRPr="00AD40C4">
        <w:rPr>
          <w:rFonts w:ascii="Times New Roman" w:hAnsi="Times New Roman"/>
        </w:rPr>
        <w:t>ing</w:t>
      </w:r>
      <w:r w:rsidR="00C71B5F" w:rsidRPr="00AD40C4">
        <w:rPr>
          <w:rFonts w:ascii="Times New Roman" w:hAnsi="Times New Roman"/>
        </w:rPr>
        <w:t xml:space="preserve"> with the Northern Territory Government to </w:t>
      </w:r>
      <w:r w:rsidR="002E25D1" w:rsidRPr="00AD40C4">
        <w:rPr>
          <w:rFonts w:ascii="Times New Roman" w:hAnsi="Times New Roman"/>
        </w:rPr>
        <w:t>coordinate funding</w:t>
      </w:r>
      <w:r w:rsidR="00C71B5F" w:rsidRPr="00AD40C4">
        <w:rPr>
          <w:rFonts w:ascii="Times New Roman" w:hAnsi="Times New Roman"/>
        </w:rPr>
        <w:t xml:space="preserve">, </w:t>
      </w:r>
      <w:r w:rsidR="00260C0E" w:rsidRPr="00AD40C4">
        <w:rPr>
          <w:rFonts w:ascii="Times New Roman" w:hAnsi="Times New Roman"/>
        </w:rPr>
        <w:t>e</w:t>
      </w:r>
      <w:r w:rsidR="004A2768" w:rsidRPr="00AD40C4">
        <w:rPr>
          <w:rFonts w:ascii="Times New Roman" w:hAnsi="Times New Roman"/>
        </w:rPr>
        <w:t>ngag</w:t>
      </w:r>
      <w:r w:rsidR="00851B1E" w:rsidRPr="00AD40C4">
        <w:rPr>
          <w:rFonts w:ascii="Times New Roman" w:hAnsi="Times New Roman"/>
        </w:rPr>
        <w:t>e</w:t>
      </w:r>
      <w:r w:rsidR="00C60C5C" w:rsidRPr="00AD40C4">
        <w:rPr>
          <w:rFonts w:ascii="Times New Roman" w:hAnsi="Times New Roman"/>
        </w:rPr>
        <w:t xml:space="preserve"> </w:t>
      </w:r>
      <w:r w:rsidR="00CD2EAB">
        <w:rPr>
          <w:rFonts w:ascii="Times New Roman" w:hAnsi="Times New Roman"/>
        </w:rPr>
        <w:t xml:space="preserve">and work </w:t>
      </w:r>
      <w:r w:rsidR="00C60C5C" w:rsidRPr="00AD40C4">
        <w:rPr>
          <w:rFonts w:ascii="Times New Roman" w:hAnsi="Times New Roman"/>
        </w:rPr>
        <w:t xml:space="preserve">with communities, </w:t>
      </w:r>
      <w:r w:rsidR="004A2768" w:rsidRPr="00AD40C4">
        <w:rPr>
          <w:rFonts w:ascii="Times New Roman" w:hAnsi="Times New Roman"/>
        </w:rPr>
        <w:t>improv</w:t>
      </w:r>
      <w:r w:rsidR="00851B1E" w:rsidRPr="00AD40C4">
        <w:rPr>
          <w:rFonts w:ascii="Times New Roman" w:hAnsi="Times New Roman"/>
        </w:rPr>
        <w:t>e</w:t>
      </w:r>
      <w:r w:rsidR="00C71B5F" w:rsidRPr="00AD40C4">
        <w:rPr>
          <w:rFonts w:ascii="Times New Roman" w:hAnsi="Times New Roman"/>
        </w:rPr>
        <w:t xml:space="preserve"> the way we </w:t>
      </w:r>
      <w:r w:rsidR="00A8489B" w:rsidRPr="00AD40C4">
        <w:rPr>
          <w:rFonts w:ascii="Times New Roman" w:hAnsi="Times New Roman"/>
        </w:rPr>
        <w:t xml:space="preserve">capture </w:t>
      </w:r>
      <w:r w:rsidRPr="00AD40C4">
        <w:rPr>
          <w:rFonts w:ascii="Times New Roman" w:hAnsi="Times New Roman"/>
        </w:rPr>
        <w:t>and share data</w:t>
      </w:r>
      <w:r w:rsidR="00C60C5C" w:rsidRPr="00AD40C4">
        <w:rPr>
          <w:rFonts w:ascii="Times New Roman" w:hAnsi="Times New Roman"/>
        </w:rPr>
        <w:t xml:space="preserve">, and strengthen institutions </w:t>
      </w:r>
      <w:r w:rsidR="008B4915" w:rsidRPr="00AD40C4">
        <w:rPr>
          <w:rFonts w:ascii="Times New Roman" w:hAnsi="Times New Roman"/>
        </w:rPr>
        <w:t>in the Northern Territory</w:t>
      </w:r>
      <w:r w:rsidR="009C5222">
        <w:rPr>
          <w:rFonts w:ascii="Times New Roman" w:hAnsi="Times New Roman"/>
        </w:rPr>
        <w:t xml:space="preserve"> to deliver better safety and wellbeing outcomes for children and families</w:t>
      </w:r>
      <w:r w:rsidR="004A2768" w:rsidRPr="00AD40C4">
        <w:rPr>
          <w:rFonts w:ascii="Times New Roman" w:hAnsi="Times New Roman"/>
        </w:rPr>
        <w:t>.</w:t>
      </w:r>
      <w:r w:rsidR="00C71B5F" w:rsidRPr="00AD40C4">
        <w:rPr>
          <w:rFonts w:ascii="Times New Roman" w:hAnsi="Times New Roman"/>
        </w:rPr>
        <w:t xml:space="preserve"> </w:t>
      </w:r>
    </w:p>
    <w:p w14:paraId="1F380E28" w14:textId="688515CF" w:rsidR="000F20C1" w:rsidRPr="000F20C1" w:rsidRDefault="00AD40C4" w:rsidP="000F20C1">
      <w:pPr>
        <w:pStyle w:val="ListParagraph"/>
        <w:keepLines/>
        <w:numPr>
          <w:ilvl w:val="0"/>
          <w:numId w:val="2"/>
        </w:numPr>
        <w:spacing w:after="0" w:line="240" w:lineRule="auto"/>
        <w:ind w:left="567" w:hanging="567"/>
        <w:contextualSpacing w:val="0"/>
        <w:rPr>
          <w:rFonts w:ascii="Times New Roman" w:hAnsi="Times New Roman"/>
          <w:color w:val="00B0F0"/>
        </w:rPr>
      </w:pPr>
      <w:r w:rsidRPr="007E6AC0">
        <w:rPr>
          <w:rFonts w:ascii="Times New Roman" w:hAnsi="Times New Roman"/>
        </w:rPr>
        <w:t>The National Agreement on Closing the Gap (enacted 27 July 2020) is a forma</w:t>
      </w:r>
      <w:r w:rsidR="00732C01">
        <w:rPr>
          <w:rFonts w:ascii="Times New Roman" w:hAnsi="Times New Roman"/>
        </w:rPr>
        <w:t>lised mechanism to support a co</w:t>
      </w:r>
      <w:r w:rsidRPr="007E6AC0">
        <w:rPr>
          <w:rFonts w:ascii="Times New Roman" w:hAnsi="Times New Roman"/>
        </w:rPr>
        <w:t xml:space="preserve">ordinated effort across the Commonwealth with the Northern Territory – as with all states and territories, local government and the Coalition of Aboriginal and Torres Strait Islander Peak Organisations. It is the first framework designed to overcome inequality and achieve equal life outcomes, developed in formal partnership between governments and Aboriginal and Torres Strait Islander people themselves. </w:t>
      </w:r>
      <w:r w:rsidR="00732C01">
        <w:rPr>
          <w:rFonts w:ascii="Times New Roman" w:hAnsi="Times New Roman"/>
        </w:rPr>
        <w:t xml:space="preserve">Alignment of the PC’s </w:t>
      </w:r>
      <w:r w:rsidR="00E3317F" w:rsidRPr="007E6AC0">
        <w:rPr>
          <w:rFonts w:ascii="Times New Roman" w:hAnsi="Times New Roman"/>
        </w:rPr>
        <w:t>‘Reform Areas’</w:t>
      </w:r>
      <w:r w:rsidR="00F40514" w:rsidRPr="007E6AC0">
        <w:rPr>
          <w:rFonts w:ascii="Times New Roman" w:hAnsi="Times New Roman"/>
        </w:rPr>
        <w:t xml:space="preserve"> with Closing the Gap</w:t>
      </w:r>
      <w:r w:rsidR="00732C01">
        <w:rPr>
          <w:rFonts w:ascii="Times New Roman" w:hAnsi="Times New Roman"/>
        </w:rPr>
        <w:t>’s</w:t>
      </w:r>
      <w:r w:rsidR="00F40514" w:rsidRPr="007E6AC0">
        <w:rPr>
          <w:rFonts w:ascii="Times New Roman" w:hAnsi="Times New Roman"/>
        </w:rPr>
        <w:t xml:space="preserve"> </w:t>
      </w:r>
      <w:r w:rsidR="00E3317F" w:rsidRPr="007E6AC0">
        <w:rPr>
          <w:rFonts w:ascii="Times New Roman" w:hAnsi="Times New Roman"/>
        </w:rPr>
        <w:t xml:space="preserve">‘Priority Reforms’ </w:t>
      </w:r>
      <w:r w:rsidR="00F40514" w:rsidRPr="007E6AC0">
        <w:rPr>
          <w:rFonts w:ascii="Times New Roman" w:hAnsi="Times New Roman"/>
        </w:rPr>
        <w:t>is essential to further</w:t>
      </w:r>
      <w:r w:rsidR="00F2053B" w:rsidRPr="007E6AC0">
        <w:rPr>
          <w:rFonts w:ascii="Times New Roman" w:hAnsi="Times New Roman"/>
        </w:rPr>
        <w:t>ing</w:t>
      </w:r>
      <w:r w:rsidR="00F40514" w:rsidRPr="007E6AC0">
        <w:rPr>
          <w:rFonts w:ascii="Times New Roman" w:hAnsi="Times New Roman"/>
        </w:rPr>
        <w:t xml:space="preserve"> the a</w:t>
      </w:r>
      <w:r w:rsidR="00E3317F" w:rsidRPr="007E6AC0">
        <w:rPr>
          <w:rFonts w:ascii="Times New Roman" w:hAnsi="Times New Roman"/>
        </w:rPr>
        <w:t>ims</w:t>
      </w:r>
      <w:r w:rsidR="00F40514" w:rsidRPr="007E6AC0">
        <w:rPr>
          <w:rFonts w:ascii="Times New Roman" w:hAnsi="Times New Roman"/>
        </w:rPr>
        <w:t xml:space="preserve"> of both. </w:t>
      </w:r>
    </w:p>
    <w:p w14:paraId="70F10720" w14:textId="458F1509" w:rsidR="00E3317F" w:rsidRPr="000F20C1" w:rsidRDefault="00F56AED" w:rsidP="000F20C1">
      <w:pPr>
        <w:pStyle w:val="Heading3"/>
        <w:keepLines/>
        <w:spacing w:before="240" w:line="240" w:lineRule="auto"/>
        <w:rPr>
          <w:rFonts w:ascii="Times New Roman" w:hAnsi="Times New Roman" w:cs="Times New Roman"/>
          <w:color w:val="004253" w:themeColor="accent1" w:themeShade="BF"/>
        </w:rPr>
      </w:pPr>
      <w:bookmarkStart w:id="8" w:name="_Toc45800457"/>
      <w:r w:rsidRPr="008458BE">
        <w:rPr>
          <w:rFonts w:ascii="Times New Roman" w:hAnsi="Times New Roman" w:cs="Times New Roman"/>
          <w:b/>
          <w:color w:val="004253" w:themeColor="accent1" w:themeShade="BF"/>
        </w:rPr>
        <w:t xml:space="preserve">Reform Area </w:t>
      </w:r>
      <w:r w:rsidRPr="00D93954">
        <w:rPr>
          <w:rFonts w:ascii="Times New Roman" w:hAnsi="Times New Roman" w:cs="Times New Roman"/>
          <w:b/>
          <w:color w:val="004253" w:themeColor="accent1" w:themeShade="BF"/>
        </w:rPr>
        <w:t xml:space="preserve">1: </w:t>
      </w:r>
      <w:r w:rsidR="000F423F" w:rsidRPr="00732C01">
        <w:rPr>
          <w:rFonts w:ascii="Times New Roman" w:hAnsi="Times New Roman" w:cs="Times New Roman"/>
          <w:color w:val="004253" w:themeColor="accent1" w:themeShade="BF"/>
        </w:rPr>
        <w:t>Coordinated funding underpinned by regional plan</w:t>
      </w:r>
      <w:bookmarkEnd w:id="8"/>
      <w:r w:rsidR="001C44B6" w:rsidRPr="00732C01">
        <w:rPr>
          <w:rFonts w:ascii="Times New Roman" w:hAnsi="Times New Roman" w:cs="Times New Roman"/>
          <w:color w:val="004253" w:themeColor="accent1" w:themeShade="BF"/>
        </w:rPr>
        <w:t>s</w:t>
      </w:r>
      <w:r w:rsidR="009801CC">
        <w:rPr>
          <w:rStyle w:val="FootnoteReference"/>
          <w:rFonts w:ascii="Times New Roman" w:hAnsi="Times New Roman" w:cs="Times New Roman"/>
          <w:color w:val="004253" w:themeColor="accent1" w:themeShade="BF"/>
        </w:rPr>
        <w:footnoteReference w:id="4"/>
      </w:r>
    </w:p>
    <w:p w14:paraId="5AD600C9" w14:textId="5A14055A" w:rsidR="00DC0DBD" w:rsidRPr="000F20C1" w:rsidRDefault="003174CD" w:rsidP="000F20C1">
      <w:pPr>
        <w:pStyle w:val="ListParagraph"/>
        <w:keepLines/>
        <w:numPr>
          <w:ilvl w:val="0"/>
          <w:numId w:val="2"/>
        </w:numPr>
        <w:spacing w:before="240" w:after="0" w:line="240" w:lineRule="auto"/>
        <w:ind w:left="567" w:hanging="567"/>
        <w:contextualSpacing w:val="0"/>
        <w:rPr>
          <w:rFonts w:ascii="Times New Roman" w:hAnsi="Times New Roman"/>
        </w:rPr>
      </w:pPr>
      <w:r>
        <w:rPr>
          <w:rFonts w:ascii="Times New Roman" w:hAnsi="Times New Roman"/>
        </w:rPr>
        <w:t xml:space="preserve">The </w:t>
      </w:r>
      <w:r w:rsidR="00DE074D" w:rsidRPr="00DE074D">
        <w:rPr>
          <w:rFonts w:ascii="Times New Roman" w:hAnsi="Times New Roman"/>
        </w:rPr>
        <w:t xml:space="preserve">PC </w:t>
      </w:r>
      <w:r w:rsidR="00203B42">
        <w:rPr>
          <w:rFonts w:ascii="Times New Roman" w:hAnsi="Times New Roman"/>
        </w:rPr>
        <w:t xml:space="preserve">found </w:t>
      </w:r>
      <w:r>
        <w:rPr>
          <w:rFonts w:ascii="Times New Roman" w:hAnsi="Times New Roman"/>
        </w:rPr>
        <w:t xml:space="preserve">that </w:t>
      </w:r>
      <w:r w:rsidR="0039477C">
        <w:rPr>
          <w:rFonts w:ascii="Times New Roman" w:hAnsi="Times New Roman"/>
        </w:rPr>
        <w:t>children and family s</w:t>
      </w:r>
      <w:r w:rsidR="0039477C" w:rsidRPr="0039477C">
        <w:rPr>
          <w:rFonts w:ascii="Times New Roman" w:hAnsi="Times New Roman"/>
        </w:rPr>
        <w:t xml:space="preserve">ervices are fragmented across places and providers, and collectively fail to meet </w:t>
      </w:r>
      <w:r w:rsidR="0039477C" w:rsidRPr="007E6AC0">
        <w:rPr>
          <w:rFonts w:ascii="Times New Roman" w:hAnsi="Times New Roman"/>
        </w:rPr>
        <w:t xml:space="preserve">the </w:t>
      </w:r>
      <w:r w:rsidR="006076FF" w:rsidRPr="007E6AC0">
        <w:rPr>
          <w:rFonts w:ascii="Times New Roman" w:hAnsi="Times New Roman"/>
        </w:rPr>
        <w:t xml:space="preserve">expressed </w:t>
      </w:r>
      <w:r w:rsidR="0039477C" w:rsidRPr="007E6AC0">
        <w:rPr>
          <w:rFonts w:ascii="Times New Roman" w:hAnsi="Times New Roman"/>
        </w:rPr>
        <w:t>needs and prio</w:t>
      </w:r>
      <w:r w:rsidRPr="007E6AC0">
        <w:rPr>
          <w:rFonts w:ascii="Times New Roman" w:hAnsi="Times New Roman"/>
        </w:rPr>
        <w:t xml:space="preserve">rities of </w:t>
      </w:r>
      <w:r w:rsidR="006076FF" w:rsidRPr="007E6AC0">
        <w:rPr>
          <w:rFonts w:ascii="Times New Roman" w:hAnsi="Times New Roman"/>
        </w:rPr>
        <w:t xml:space="preserve">communities, </w:t>
      </w:r>
      <w:r w:rsidRPr="007E6AC0">
        <w:rPr>
          <w:rFonts w:ascii="Times New Roman" w:hAnsi="Times New Roman"/>
        </w:rPr>
        <w:t>children and families</w:t>
      </w:r>
      <w:r w:rsidR="0039477C" w:rsidRPr="007E6AC0">
        <w:rPr>
          <w:rFonts w:ascii="Times New Roman" w:hAnsi="Times New Roman"/>
        </w:rPr>
        <w:t>.</w:t>
      </w:r>
      <w:r w:rsidR="004F67B0" w:rsidRPr="007E6AC0">
        <w:rPr>
          <w:rFonts w:ascii="Times New Roman" w:hAnsi="Times New Roman"/>
        </w:rPr>
        <w:t xml:space="preserve"> T</w:t>
      </w:r>
      <w:r w:rsidR="00A24DCE" w:rsidRPr="007E6AC0">
        <w:rPr>
          <w:rFonts w:ascii="Times New Roman" w:hAnsi="Times New Roman"/>
        </w:rPr>
        <w:t>he PC recommended</w:t>
      </w:r>
      <w:r w:rsidR="002F43D9" w:rsidRPr="007E6AC0">
        <w:rPr>
          <w:rFonts w:ascii="Times New Roman" w:hAnsi="Times New Roman"/>
        </w:rPr>
        <w:t xml:space="preserve"> governments</w:t>
      </w:r>
      <w:r w:rsidR="00DE074D" w:rsidRPr="007E6AC0">
        <w:rPr>
          <w:rFonts w:ascii="Times New Roman" w:hAnsi="Times New Roman"/>
        </w:rPr>
        <w:t xml:space="preserve"> establish a formal coordination process in which they agree on what types </w:t>
      </w:r>
      <w:r w:rsidR="006076FF" w:rsidRPr="007E6AC0">
        <w:rPr>
          <w:rFonts w:ascii="Times New Roman" w:hAnsi="Times New Roman"/>
        </w:rPr>
        <w:t xml:space="preserve">and combination </w:t>
      </w:r>
      <w:r w:rsidR="00DE074D" w:rsidRPr="007E6AC0">
        <w:rPr>
          <w:rFonts w:ascii="Times New Roman" w:hAnsi="Times New Roman"/>
        </w:rPr>
        <w:t>of s</w:t>
      </w:r>
      <w:r w:rsidR="004F67B0" w:rsidRPr="007E6AC0">
        <w:rPr>
          <w:rFonts w:ascii="Times New Roman" w:hAnsi="Times New Roman"/>
        </w:rPr>
        <w:t xml:space="preserve">ervices they will each fund </w:t>
      </w:r>
      <w:r w:rsidR="00DE074D" w:rsidRPr="007E6AC0">
        <w:rPr>
          <w:rFonts w:ascii="Times New Roman" w:hAnsi="Times New Roman"/>
        </w:rPr>
        <w:t xml:space="preserve">in which locations, </w:t>
      </w:r>
      <w:r w:rsidR="002F43D9" w:rsidRPr="007E6AC0">
        <w:rPr>
          <w:rFonts w:ascii="Times New Roman" w:hAnsi="Times New Roman"/>
        </w:rPr>
        <w:t>informed by regional plans developed with communities</w:t>
      </w:r>
      <w:r w:rsidR="00110134" w:rsidRPr="007E6AC0">
        <w:rPr>
          <w:rFonts w:ascii="Times New Roman" w:hAnsi="Times New Roman"/>
        </w:rPr>
        <w:t>.</w:t>
      </w:r>
      <w:r w:rsidR="00DE074D" w:rsidRPr="007E6AC0">
        <w:rPr>
          <w:rFonts w:ascii="Times New Roman" w:hAnsi="Times New Roman"/>
        </w:rPr>
        <w:t xml:space="preserve"> </w:t>
      </w:r>
      <w:r w:rsidR="004F67B0" w:rsidRPr="000F20C1">
        <w:rPr>
          <w:rFonts w:ascii="Times New Roman" w:hAnsi="Times New Roman"/>
        </w:rPr>
        <w:t xml:space="preserve">These arrangements </w:t>
      </w:r>
      <w:r w:rsidR="00E56D52" w:rsidRPr="000F20C1">
        <w:rPr>
          <w:rFonts w:ascii="Times New Roman" w:hAnsi="Times New Roman"/>
        </w:rPr>
        <w:t xml:space="preserve">aim to </w:t>
      </w:r>
      <w:r w:rsidR="00BD765B" w:rsidRPr="000F20C1">
        <w:rPr>
          <w:rFonts w:ascii="Times New Roman" w:hAnsi="Times New Roman"/>
        </w:rPr>
        <w:t xml:space="preserve">reduce duplication </w:t>
      </w:r>
      <w:r w:rsidR="007C29EE" w:rsidRPr="000F20C1">
        <w:rPr>
          <w:rFonts w:ascii="Times New Roman" w:hAnsi="Times New Roman"/>
        </w:rPr>
        <w:t xml:space="preserve">of effort, </w:t>
      </w:r>
      <w:r w:rsidR="00BD765B" w:rsidRPr="000F20C1">
        <w:rPr>
          <w:rFonts w:ascii="Times New Roman" w:hAnsi="Times New Roman"/>
        </w:rPr>
        <w:t>promote cohesion</w:t>
      </w:r>
      <w:r w:rsidR="006076FF" w:rsidRPr="000F20C1">
        <w:rPr>
          <w:rFonts w:ascii="Times New Roman" w:hAnsi="Times New Roman"/>
        </w:rPr>
        <w:t>,</w:t>
      </w:r>
      <w:r w:rsidR="00BD765B" w:rsidRPr="000F20C1">
        <w:rPr>
          <w:rFonts w:ascii="Times New Roman" w:hAnsi="Times New Roman"/>
        </w:rPr>
        <w:t xml:space="preserve"> </w:t>
      </w:r>
      <w:r w:rsidR="007C29EE" w:rsidRPr="000F20C1">
        <w:rPr>
          <w:rFonts w:ascii="Times New Roman" w:hAnsi="Times New Roman"/>
        </w:rPr>
        <w:t xml:space="preserve">deliver an </w:t>
      </w:r>
      <w:r w:rsidR="00BD765B" w:rsidRPr="000F20C1">
        <w:rPr>
          <w:rFonts w:ascii="Times New Roman" w:hAnsi="Times New Roman"/>
        </w:rPr>
        <w:t>equitable distribution of government funds</w:t>
      </w:r>
      <w:r w:rsidR="00851B1E" w:rsidRPr="000F20C1">
        <w:rPr>
          <w:rFonts w:ascii="Times New Roman" w:hAnsi="Times New Roman"/>
        </w:rPr>
        <w:t xml:space="preserve"> and better meet the needs of families</w:t>
      </w:r>
      <w:r w:rsidR="006076FF" w:rsidRPr="000F20C1">
        <w:rPr>
          <w:rFonts w:ascii="Times New Roman" w:hAnsi="Times New Roman"/>
        </w:rPr>
        <w:t xml:space="preserve"> and children</w:t>
      </w:r>
      <w:r w:rsidR="00DE074D" w:rsidRPr="000F20C1">
        <w:rPr>
          <w:rFonts w:ascii="Times New Roman" w:hAnsi="Times New Roman"/>
        </w:rPr>
        <w:t>.</w:t>
      </w:r>
    </w:p>
    <w:p w14:paraId="351E17CC" w14:textId="6A8BF9EE" w:rsidR="001137FC" w:rsidRPr="00E57F7C" w:rsidRDefault="002F43D9" w:rsidP="00D208EF">
      <w:pPr>
        <w:pStyle w:val="ListParagraph"/>
        <w:keepLines/>
        <w:numPr>
          <w:ilvl w:val="0"/>
          <w:numId w:val="2"/>
        </w:numPr>
        <w:spacing w:after="0" w:line="240" w:lineRule="auto"/>
        <w:ind w:left="567" w:hanging="567"/>
        <w:contextualSpacing w:val="0"/>
        <w:rPr>
          <w:rFonts w:ascii="Times New Roman" w:hAnsi="Times New Roman"/>
        </w:rPr>
      </w:pPr>
      <w:r>
        <w:rPr>
          <w:rFonts w:ascii="Times New Roman" w:hAnsi="Times New Roman"/>
        </w:rPr>
        <w:t>T</w:t>
      </w:r>
      <w:r w:rsidR="004F2AF3">
        <w:rPr>
          <w:rFonts w:ascii="Times New Roman" w:hAnsi="Times New Roman"/>
        </w:rPr>
        <w:t xml:space="preserve">he Australian Government </w:t>
      </w:r>
      <w:r w:rsidR="004F2AF3" w:rsidRPr="004F2AF3">
        <w:rPr>
          <w:rFonts w:ascii="Times New Roman" w:hAnsi="Times New Roman"/>
        </w:rPr>
        <w:t>agree</w:t>
      </w:r>
      <w:r w:rsidR="004F2AF3">
        <w:rPr>
          <w:rFonts w:ascii="Times New Roman" w:hAnsi="Times New Roman"/>
        </w:rPr>
        <w:t>s</w:t>
      </w:r>
      <w:r w:rsidR="004F2AF3" w:rsidRPr="004F2AF3">
        <w:rPr>
          <w:rFonts w:ascii="Times New Roman" w:hAnsi="Times New Roman"/>
        </w:rPr>
        <w:t xml:space="preserve"> that </w:t>
      </w:r>
      <w:r w:rsidR="004F2AF3">
        <w:rPr>
          <w:rFonts w:ascii="Times New Roman" w:hAnsi="Times New Roman"/>
        </w:rPr>
        <w:t xml:space="preserve">regional plans are valuable and </w:t>
      </w:r>
      <w:r w:rsidR="008C22B2">
        <w:rPr>
          <w:rFonts w:ascii="Times New Roman" w:hAnsi="Times New Roman"/>
        </w:rPr>
        <w:t xml:space="preserve">will explore </w:t>
      </w:r>
      <w:r w:rsidR="00730C26">
        <w:rPr>
          <w:rFonts w:ascii="Times New Roman" w:hAnsi="Times New Roman"/>
        </w:rPr>
        <w:t xml:space="preserve">trialling an </w:t>
      </w:r>
      <w:r w:rsidR="00730C26" w:rsidRPr="004F2AF3">
        <w:rPr>
          <w:rFonts w:ascii="Times New Roman" w:hAnsi="Times New Roman"/>
        </w:rPr>
        <w:t>i</w:t>
      </w:r>
      <w:r w:rsidR="00730C26">
        <w:rPr>
          <w:rFonts w:ascii="Times New Roman" w:hAnsi="Times New Roman"/>
        </w:rPr>
        <w:t>ntegrated approach for regional</w:t>
      </w:r>
      <w:r w:rsidR="00730C26" w:rsidRPr="004F2AF3">
        <w:rPr>
          <w:rFonts w:ascii="Times New Roman" w:hAnsi="Times New Roman"/>
        </w:rPr>
        <w:t xml:space="preserve"> planning</w:t>
      </w:r>
      <w:r w:rsidR="00730C26">
        <w:rPr>
          <w:rFonts w:ascii="Times New Roman" w:hAnsi="Times New Roman"/>
        </w:rPr>
        <w:t xml:space="preserve"> which complements existing efforts</w:t>
      </w:r>
      <w:r w:rsidR="00730C26" w:rsidRPr="004F2AF3">
        <w:rPr>
          <w:rFonts w:ascii="Times New Roman" w:hAnsi="Times New Roman"/>
        </w:rPr>
        <w:t>.</w:t>
      </w:r>
      <w:r w:rsidR="004F2AF3" w:rsidRPr="004F2AF3">
        <w:rPr>
          <w:rFonts w:ascii="Times New Roman" w:hAnsi="Times New Roman"/>
        </w:rPr>
        <w:t xml:space="preserve"> </w:t>
      </w:r>
      <w:r w:rsidR="008C22B2">
        <w:rPr>
          <w:rFonts w:ascii="Times New Roman" w:hAnsi="Times New Roman"/>
        </w:rPr>
        <w:t>I</w:t>
      </w:r>
      <w:r w:rsidR="003F5C08">
        <w:rPr>
          <w:rFonts w:ascii="Times New Roman" w:hAnsi="Times New Roman"/>
        </w:rPr>
        <w:t>mplementing such an approach require</w:t>
      </w:r>
      <w:r w:rsidR="00B54839">
        <w:rPr>
          <w:rFonts w:ascii="Times New Roman" w:hAnsi="Times New Roman"/>
        </w:rPr>
        <w:t>s</w:t>
      </w:r>
      <w:r w:rsidR="003F5C08">
        <w:rPr>
          <w:rFonts w:ascii="Times New Roman" w:hAnsi="Times New Roman"/>
        </w:rPr>
        <w:t xml:space="preserve"> </w:t>
      </w:r>
      <w:r w:rsidR="00E56D52">
        <w:rPr>
          <w:rFonts w:ascii="Times New Roman" w:hAnsi="Times New Roman"/>
        </w:rPr>
        <w:t xml:space="preserve">consideration </w:t>
      </w:r>
      <w:r w:rsidR="003F5C08">
        <w:rPr>
          <w:rFonts w:ascii="Times New Roman" w:hAnsi="Times New Roman"/>
        </w:rPr>
        <w:t xml:space="preserve">of </w:t>
      </w:r>
      <w:r w:rsidR="00E940EC">
        <w:rPr>
          <w:rFonts w:ascii="Times New Roman" w:hAnsi="Times New Roman"/>
        </w:rPr>
        <w:t>varying</w:t>
      </w:r>
      <w:r w:rsidR="00E56D52">
        <w:rPr>
          <w:rFonts w:ascii="Times New Roman" w:hAnsi="Times New Roman"/>
        </w:rPr>
        <w:t xml:space="preserve"> levels of </w:t>
      </w:r>
      <w:r w:rsidR="004F2AF3" w:rsidRPr="002F43D9">
        <w:rPr>
          <w:rFonts w:ascii="Times New Roman" w:hAnsi="Times New Roman"/>
        </w:rPr>
        <w:t>community readiness</w:t>
      </w:r>
      <w:r w:rsidR="0064638D">
        <w:rPr>
          <w:rFonts w:ascii="Times New Roman" w:hAnsi="Times New Roman"/>
        </w:rPr>
        <w:t>,</w:t>
      </w:r>
      <w:r w:rsidR="00E940EC">
        <w:rPr>
          <w:rFonts w:ascii="Times New Roman" w:hAnsi="Times New Roman"/>
        </w:rPr>
        <w:t xml:space="preserve"> the capacity</w:t>
      </w:r>
      <w:r w:rsidR="0004726E">
        <w:rPr>
          <w:rFonts w:ascii="Times New Roman" w:hAnsi="Times New Roman"/>
        </w:rPr>
        <w:t xml:space="preserve"> </w:t>
      </w:r>
      <w:r w:rsidR="00B54839">
        <w:rPr>
          <w:rFonts w:ascii="Times New Roman" w:hAnsi="Times New Roman"/>
        </w:rPr>
        <w:t>of locally based organisation</w:t>
      </w:r>
      <w:r w:rsidR="0064638D">
        <w:rPr>
          <w:rFonts w:ascii="Times New Roman" w:hAnsi="Times New Roman"/>
        </w:rPr>
        <w:t>s,</w:t>
      </w:r>
      <w:r w:rsidR="006076FF">
        <w:rPr>
          <w:rFonts w:ascii="Times New Roman" w:hAnsi="Times New Roman"/>
        </w:rPr>
        <w:t xml:space="preserve"> and </w:t>
      </w:r>
      <w:r w:rsidR="0064638D">
        <w:rPr>
          <w:rFonts w:ascii="Times New Roman" w:hAnsi="Times New Roman"/>
        </w:rPr>
        <w:t xml:space="preserve">implications for current operating arrangements for </w:t>
      </w:r>
      <w:r w:rsidR="006076FF">
        <w:rPr>
          <w:rFonts w:ascii="Times New Roman" w:hAnsi="Times New Roman"/>
        </w:rPr>
        <w:t>regional staff.</w:t>
      </w:r>
    </w:p>
    <w:p w14:paraId="7D972AED" w14:textId="6EE7EAD6" w:rsidR="00DC0DBD" w:rsidRPr="00E57F7C" w:rsidRDefault="002F43D9" w:rsidP="00D208EF">
      <w:pPr>
        <w:pStyle w:val="ListParagraph"/>
        <w:keepLines/>
        <w:numPr>
          <w:ilvl w:val="0"/>
          <w:numId w:val="2"/>
        </w:numPr>
        <w:spacing w:after="0" w:line="240" w:lineRule="auto"/>
        <w:ind w:left="567" w:hanging="567"/>
        <w:contextualSpacing w:val="0"/>
        <w:rPr>
          <w:rFonts w:ascii="Times New Roman" w:hAnsi="Times New Roman"/>
        </w:rPr>
      </w:pPr>
      <w:r>
        <w:rPr>
          <w:rFonts w:ascii="Times New Roman" w:hAnsi="Times New Roman"/>
        </w:rPr>
        <w:t>T</w:t>
      </w:r>
      <w:r w:rsidR="00DC0DBD" w:rsidRPr="004F2AF3">
        <w:rPr>
          <w:rFonts w:ascii="Times New Roman" w:hAnsi="Times New Roman"/>
        </w:rPr>
        <w:t>he</w:t>
      </w:r>
      <w:r w:rsidR="004F2AF3">
        <w:rPr>
          <w:rFonts w:ascii="Times New Roman" w:hAnsi="Times New Roman"/>
        </w:rPr>
        <w:t xml:space="preserve"> Australian Government</w:t>
      </w:r>
      <w:r w:rsidR="00D176D0">
        <w:rPr>
          <w:rFonts w:ascii="Times New Roman" w:hAnsi="Times New Roman"/>
        </w:rPr>
        <w:t xml:space="preserve"> </w:t>
      </w:r>
      <w:r>
        <w:rPr>
          <w:rFonts w:ascii="Times New Roman" w:hAnsi="Times New Roman"/>
        </w:rPr>
        <w:t>will continue</w:t>
      </w:r>
      <w:r w:rsidR="00C8714F">
        <w:rPr>
          <w:rFonts w:ascii="Times New Roman" w:hAnsi="Times New Roman"/>
        </w:rPr>
        <w:t xml:space="preserve"> to build </w:t>
      </w:r>
      <w:r w:rsidR="00BC6835">
        <w:rPr>
          <w:rFonts w:ascii="Times New Roman" w:hAnsi="Times New Roman"/>
        </w:rPr>
        <w:t>up</w:t>
      </w:r>
      <w:r w:rsidR="00C8714F">
        <w:rPr>
          <w:rFonts w:ascii="Times New Roman" w:hAnsi="Times New Roman"/>
        </w:rPr>
        <w:t xml:space="preserve">on our </w:t>
      </w:r>
      <w:r>
        <w:rPr>
          <w:rFonts w:ascii="Times New Roman" w:hAnsi="Times New Roman"/>
        </w:rPr>
        <w:t>experience f</w:t>
      </w:r>
      <w:r w:rsidR="00DC0DBD" w:rsidRPr="004F2AF3">
        <w:rPr>
          <w:rFonts w:ascii="Times New Roman" w:hAnsi="Times New Roman"/>
        </w:rPr>
        <w:t>acilitat</w:t>
      </w:r>
      <w:r w:rsidR="00D176D0">
        <w:rPr>
          <w:rFonts w:ascii="Times New Roman" w:hAnsi="Times New Roman"/>
        </w:rPr>
        <w:t>ing</w:t>
      </w:r>
      <w:r w:rsidR="00DC0DBD" w:rsidRPr="004F2AF3">
        <w:rPr>
          <w:rFonts w:ascii="Times New Roman" w:hAnsi="Times New Roman"/>
        </w:rPr>
        <w:t xml:space="preserve"> community planning through various place-based initiatives. This includes working in partnership </w:t>
      </w:r>
      <w:r w:rsidR="00D66A73">
        <w:rPr>
          <w:rFonts w:ascii="Times New Roman" w:hAnsi="Times New Roman"/>
        </w:rPr>
        <w:t>with</w:t>
      </w:r>
      <w:r w:rsidR="00DC0DBD" w:rsidRPr="004F2AF3">
        <w:rPr>
          <w:rFonts w:ascii="Times New Roman" w:hAnsi="Times New Roman"/>
        </w:rPr>
        <w:t xml:space="preserve"> </w:t>
      </w:r>
      <w:r w:rsidR="008A082A">
        <w:rPr>
          <w:rFonts w:ascii="Times New Roman" w:hAnsi="Times New Roman"/>
        </w:rPr>
        <w:t xml:space="preserve">the </w:t>
      </w:r>
      <w:r w:rsidR="002659EC">
        <w:rPr>
          <w:rFonts w:ascii="Times New Roman" w:hAnsi="Times New Roman"/>
        </w:rPr>
        <w:t>Northern Territory</w:t>
      </w:r>
      <w:r w:rsidR="008A082A">
        <w:rPr>
          <w:rFonts w:ascii="Times New Roman" w:hAnsi="Times New Roman"/>
        </w:rPr>
        <w:t xml:space="preserve"> Government</w:t>
      </w:r>
      <w:r w:rsidR="00C34C37">
        <w:rPr>
          <w:rFonts w:ascii="Times New Roman" w:hAnsi="Times New Roman"/>
        </w:rPr>
        <w:t xml:space="preserve"> to implement their</w:t>
      </w:r>
      <w:r w:rsidR="008A082A">
        <w:rPr>
          <w:rFonts w:ascii="Times New Roman" w:hAnsi="Times New Roman"/>
        </w:rPr>
        <w:t xml:space="preserve"> L</w:t>
      </w:r>
      <w:r w:rsidR="00DC0DBD" w:rsidRPr="004F2AF3">
        <w:rPr>
          <w:rFonts w:ascii="Times New Roman" w:hAnsi="Times New Roman"/>
        </w:rPr>
        <w:t xml:space="preserve">ocal </w:t>
      </w:r>
      <w:r w:rsidR="008A082A">
        <w:rPr>
          <w:rFonts w:ascii="Times New Roman" w:hAnsi="Times New Roman"/>
        </w:rPr>
        <w:t>D</w:t>
      </w:r>
      <w:r w:rsidR="00DC0DBD" w:rsidRPr="004F2AF3">
        <w:rPr>
          <w:rFonts w:ascii="Times New Roman" w:hAnsi="Times New Roman"/>
        </w:rPr>
        <w:t>ecision</w:t>
      </w:r>
      <w:r w:rsidR="00C34C37">
        <w:rPr>
          <w:rFonts w:ascii="Times New Roman" w:hAnsi="Times New Roman"/>
        </w:rPr>
        <w:noBreakHyphen/>
      </w:r>
      <w:r w:rsidR="008A082A">
        <w:rPr>
          <w:rFonts w:ascii="Times New Roman" w:hAnsi="Times New Roman"/>
        </w:rPr>
        <w:t>M</w:t>
      </w:r>
      <w:r w:rsidR="00DC0DBD" w:rsidRPr="004F2AF3">
        <w:rPr>
          <w:rFonts w:ascii="Times New Roman" w:hAnsi="Times New Roman"/>
        </w:rPr>
        <w:t xml:space="preserve">aking </w:t>
      </w:r>
      <w:r w:rsidR="008A082A" w:rsidRPr="004F2AF3">
        <w:rPr>
          <w:rFonts w:ascii="Times New Roman" w:hAnsi="Times New Roman"/>
        </w:rPr>
        <w:t>polic</w:t>
      </w:r>
      <w:r w:rsidR="008A082A">
        <w:rPr>
          <w:rFonts w:ascii="Times New Roman" w:hAnsi="Times New Roman"/>
        </w:rPr>
        <w:t>y</w:t>
      </w:r>
      <w:r w:rsidR="00DC0DBD" w:rsidRPr="004F2AF3">
        <w:rPr>
          <w:rFonts w:ascii="Times New Roman" w:hAnsi="Times New Roman"/>
        </w:rPr>
        <w:t>, such as through the Barkly Regional Deal</w:t>
      </w:r>
      <w:r w:rsidR="00D176D0">
        <w:rPr>
          <w:rFonts w:ascii="Times New Roman" w:hAnsi="Times New Roman"/>
        </w:rPr>
        <w:t xml:space="preserve">, </w:t>
      </w:r>
      <w:r w:rsidR="00DC0DBD" w:rsidRPr="004F2AF3">
        <w:rPr>
          <w:rFonts w:ascii="Times New Roman" w:hAnsi="Times New Roman"/>
        </w:rPr>
        <w:t>Multi</w:t>
      </w:r>
      <w:r w:rsidR="00DC0DBD" w:rsidRPr="004F2AF3">
        <w:rPr>
          <w:rFonts w:ascii="Times New Roman" w:hAnsi="Times New Roman"/>
        </w:rPr>
        <w:noBreakHyphen/>
        <w:t>Agency Partners</w:t>
      </w:r>
      <w:r w:rsidR="00FE6A01">
        <w:rPr>
          <w:rFonts w:ascii="Times New Roman" w:hAnsi="Times New Roman"/>
        </w:rPr>
        <w:t>hip</w:t>
      </w:r>
      <w:r w:rsidR="00E62EF6">
        <w:rPr>
          <w:rFonts w:ascii="Times New Roman" w:hAnsi="Times New Roman"/>
        </w:rPr>
        <w:t xml:space="preserve"> </w:t>
      </w:r>
      <w:r w:rsidR="0098261C" w:rsidRPr="004F2AF3">
        <w:rPr>
          <w:rFonts w:ascii="Times New Roman" w:hAnsi="Times New Roman"/>
        </w:rPr>
        <w:t>Agreements</w:t>
      </w:r>
      <w:r w:rsidR="00AA1D21">
        <w:rPr>
          <w:rFonts w:ascii="Times New Roman" w:hAnsi="Times New Roman"/>
        </w:rPr>
        <w:t xml:space="preserve">, </w:t>
      </w:r>
      <w:r w:rsidR="00D176D0">
        <w:rPr>
          <w:rFonts w:ascii="Times New Roman" w:hAnsi="Times New Roman"/>
        </w:rPr>
        <w:t xml:space="preserve">and </w:t>
      </w:r>
      <w:r w:rsidR="00D176D0" w:rsidRPr="00D176D0">
        <w:rPr>
          <w:rFonts w:ascii="Times New Roman" w:hAnsi="Times New Roman"/>
        </w:rPr>
        <w:t>Empowered Communities</w:t>
      </w:r>
      <w:r w:rsidR="006B272C">
        <w:rPr>
          <w:rFonts w:ascii="Times New Roman" w:hAnsi="Times New Roman"/>
        </w:rPr>
        <w:t>.  We are also</w:t>
      </w:r>
      <w:r w:rsidR="008A082A">
        <w:rPr>
          <w:rFonts w:ascii="Times New Roman" w:hAnsi="Times New Roman"/>
        </w:rPr>
        <w:t xml:space="preserve"> </w:t>
      </w:r>
      <w:r w:rsidR="0098261C" w:rsidRPr="004F2AF3">
        <w:rPr>
          <w:rFonts w:ascii="Times New Roman" w:hAnsi="Times New Roman"/>
        </w:rPr>
        <w:t>deliver</w:t>
      </w:r>
      <w:r w:rsidR="007C29EE">
        <w:rPr>
          <w:rFonts w:ascii="Times New Roman" w:hAnsi="Times New Roman"/>
        </w:rPr>
        <w:t>ing</w:t>
      </w:r>
      <w:r w:rsidR="0098261C" w:rsidRPr="004F2AF3">
        <w:rPr>
          <w:rFonts w:ascii="Times New Roman" w:hAnsi="Times New Roman"/>
        </w:rPr>
        <w:t xml:space="preserve"> on</w:t>
      </w:r>
      <w:r w:rsidR="00DC0DBD" w:rsidRPr="004F2AF3">
        <w:rPr>
          <w:rFonts w:ascii="Times New Roman" w:hAnsi="Times New Roman"/>
        </w:rPr>
        <w:t xml:space="preserve"> locally designed plans of action to stimulate </w:t>
      </w:r>
      <w:r w:rsidR="005039FF" w:rsidRPr="002C0323">
        <w:rPr>
          <w:rFonts w:ascii="Times New Roman" w:hAnsi="Times New Roman"/>
        </w:rPr>
        <w:t xml:space="preserve">place based and </w:t>
      </w:r>
      <w:r w:rsidR="00DC0DBD" w:rsidRPr="002C0323">
        <w:rPr>
          <w:rFonts w:ascii="Times New Roman" w:hAnsi="Times New Roman"/>
        </w:rPr>
        <w:t xml:space="preserve">collective impact </w:t>
      </w:r>
      <w:r w:rsidR="005039FF" w:rsidRPr="002C0323">
        <w:rPr>
          <w:rFonts w:ascii="Times New Roman" w:hAnsi="Times New Roman"/>
        </w:rPr>
        <w:t>practice</w:t>
      </w:r>
      <w:r w:rsidR="005039FF">
        <w:rPr>
          <w:rFonts w:ascii="Times New Roman" w:hAnsi="Times New Roman"/>
        </w:rPr>
        <w:t xml:space="preserve"> </w:t>
      </w:r>
      <w:r w:rsidR="00DC0DBD" w:rsidRPr="004F2AF3">
        <w:rPr>
          <w:rFonts w:ascii="Times New Roman" w:hAnsi="Times New Roman"/>
        </w:rPr>
        <w:t xml:space="preserve">through </w:t>
      </w:r>
      <w:r w:rsidR="008A082A">
        <w:rPr>
          <w:rFonts w:ascii="Times New Roman" w:hAnsi="Times New Roman"/>
        </w:rPr>
        <w:t xml:space="preserve">initiatives such as </w:t>
      </w:r>
      <w:r w:rsidR="00DC0DBD" w:rsidRPr="004F2AF3">
        <w:rPr>
          <w:rFonts w:ascii="Times New Roman" w:hAnsi="Times New Roman"/>
          <w:i/>
        </w:rPr>
        <w:t>Stronger Places, Stronger People</w:t>
      </w:r>
      <w:r w:rsidR="006B272C">
        <w:rPr>
          <w:rFonts w:ascii="Times New Roman" w:hAnsi="Times New Roman"/>
          <w:i/>
        </w:rPr>
        <w:t xml:space="preserve"> </w:t>
      </w:r>
      <w:r w:rsidR="006B272C">
        <w:rPr>
          <w:rFonts w:ascii="Times New Roman" w:hAnsi="Times New Roman"/>
        </w:rPr>
        <w:t xml:space="preserve">and </w:t>
      </w:r>
      <w:r w:rsidR="00851B1E">
        <w:rPr>
          <w:rFonts w:ascii="Times New Roman" w:hAnsi="Times New Roman"/>
          <w:i/>
        </w:rPr>
        <w:t>Stronger Communities for Children</w:t>
      </w:r>
      <w:r w:rsidR="008A082A">
        <w:rPr>
          <w:rFonts w:ascii="Times New Roman" w:hAnsi="Times New Roman"/>
        </w:rPr>
        <w:t>.</w:t>
      </w:r>
      <w:r w:rsidR="00DC0DBD" w:rsidRPr="004F2AF3">
        <w:rPr>
          <w:rFonts w:ascii="Times New Roman" w:hAnsi="Times New Roman"/>
        </w:rPr>
        <w:t xml:space="preserve"> </w:t>
      </w:r>
    </w:p>
    <w:p w14:paraId="377312CB" w14:textId="1487811C" w:rsidR="00DE074D" w:rsidRPr="00E57F7C" w:rsidRDefault="0054453B" w:rsidP="00D208EF">
      <w:pPr>
        <w:pStyle w:val="ListParagraph"/>
        <w:keepLines/>
        <w:numPr>
          <w:ilvl w:val="0"/>
          <w:numId w:val="2"/>
        </w:numPr>
        <w:spacing w:after="0" w:line="240" w:lineRule="auto"/>
        <w:ind w:left="567" w:hanging="567"/>
        <w:contextualSpacing w:val="0"/>
        <w:rPr>
          <w:rFonts w:ascii="Times New Roman" w:hAnsi="Times New Roman"/>
        </w:rPr>
      </w:pPr>
      <w:r>
        <w:rPr>
          <w:rFonts w:ascii="Times New Roman" w:hAnsi="Times New Roman"/>
        </w:rPr>
        <w:t>S</w:t>
      </w:r>
      <w:r w:rsidR="000F423F" w:rsidRPr="00917B4F">
        <w:rPr>
          <w:rFonts w:ascii="Times New Roman" w:hAnsi="Times New Roman"/>
        </w:rPr>
        <w:t xml:space="preserve">ince the </w:t>
      </w:r>
      <w:r w:rsidR="00917B4F">
        <w:rPr>
          <w:rFonts w:ascii="Times New Roman" w:hAnsi="Times New Roman"/>
        </w:rPr>
        <w:t>Royal Commission</w:t>
      </w:r>
      <w:r w:rsidR="000F423F" w:rsidRPr="00917B4F">
        <w:rPr>
          <w:rFonts w:ascii="Times New Roman" w:hAnsi="Times New Roman"/>
        </w:rPr>
        <w:t>, three new mechanisms have been established to better coordinate effort</w:t>
      </w:r>
      <w:r>
        <w:rPr>
          <w:rFonts w:ascii="Times New Roman" w:hAnsi="Times New Roman"/>
        </w:rPr>
        <w:t>s</w:t>
      </w:r>
      <w:r w:rsidR="000F423F" w:rsidRPr="00917B4F">
        <w:rPr>
          <w:rFonts w:ascii="Times New Roman" w:hAnsi="Times New Roman"/>
        </w:rPr>
        <w:t xml:space="preserve"> across </w:t>
      </w:r>
      <w:r w:rsidR="00917B4F" w:rsidRPr="00917B4F">
        <w:rPr>
          <w:rFonts w:ascii="Times New Roman" w:hAnsi="Times New Roman"/>
        </w:rPr>
        <w:t xml:space="preserve">and </w:t>
      </w:r>
      <w:r w:rsidR="000F423F" w:rsidRPr="00917B4F">
        <w:rPr>
          <w:rFonts w:ascii="Times New Roman" w:hAnsi="Times New Roman"/>
        </w:rPr>
        <w:t xml:space="preserve">between </w:t>
      </w:r>
      <w:r w:rsidR="00917B4F">
        <w:rPr>
          <w:rFonts w:ascii="Times New Roman" w:hAnsi="Times New Roman"/>
        </w:rPr>
        <w:t xml:space="preserve">governments </w:t>
      </w:r>
      <w:r w:rsidR="00917B4F" w:rsidRPr="00917B4F">
        <w:rPr>
          <w:rFonts w:ascii="Times New Roman" w:hAnsi="Times New Roman"/>
        </w:rPr>
        <w:t xml:space="preserve">and </w:t>
      </w:r>
      <w:r w:rsidR="004F67B0">
        <w:rPr>
          <w:rFonts w:ascii="Times New Roman" w:hAnsi="Times New Roman"/>
        </w:rPr>
        <w:t>agencies. These are the Tripartite Forum</w:t>
      </w:r>
      <w:r w:rsidR="004F67B0" w:rsidRPr="00247126">
        <w:rPr>
          <w:rFonts w:ascii="Times New Roman" w:hAnsi="Times New Roman"/>
        </w:rPr>
        <w:t>, Commonwealth Interdepartmental Committee on the Royal Commission, and</w:t>
      </w:r>
      <w:r w:rsidR="004F67B0">
        <w:rPr>
          <w:rFonts w:ascii="Times New Roman" w:hAnsi="Times New Roman"/>
        </w:rPr>
        <w:t xml:space="preserve"> the Northern Territory Children</w:t>
      </w:r>
      <w:r w:rsidR="006B272C">
        <w:rPr>
          <w:rFonts w:ascii="Times New Roman" w:hAnsi="Times New Roman"/>
        </w:rPr>
        <w:t xml:space="preserve"> and Families Coordination Group</w:t>
      </w:r>
      <w:r w:rsidR="004F67B0">
        <w:rPr>
          <w:rFonts w:ascii="Times New Roman" w:hAnsi="Times New Roman"/>
        </w:rPr>
        <w:t xml:space="preserve">. </w:t>
      </w:r>
    </w:p>
    <w:p w14:paraId="4E4FC69C" w14:textId="602E461C" w:rsidR="007B57D5" w:rsidRPr="00E57F7C" w:rsidRDefault="003F6089" w:rsidP="00D208EF">
      <w:pPr>
        <w:pStyle w:val="ListParagraph"/>
        <w:keepLines/>
        <w:numPr>
          <w:ilvl w:val="0"/>
          <w:numId w:val="2"/>
        </w:numPr>
        <w:spacing w:after="0" w:line="240" w:lineRule="auto"/>
        <w:ind w:left="567" w:hanging="567"/>
        <w:contextualSpacing w:val="0"/>
        <w:rPr>
          <w:rFonts w:ascii="Times New Roman" w:hAnsi="Times New Roman"/>
        </w:rPr>
      </w:pPr>
      <w:r>
        <w:rPr>
          <w:rFonts w:ascii="Times New Roman" w:hAnsi="Times New Roman"/>
        </w:rPr>
        <w:t>T</w:t>
      </w:r>
      <w:r w:rsidR="00917B4F" w:rsidRPr="0054453B">
        <w:rPr>
          <w:rFonts w:ascii="Times New Roman" w:hAnsi="Times New Roman"/>
        </w:rPr>
        <w:t xml:space="preserve">he Australian Government is working with the Northern Territory </w:t>
      </w:r>
      <w:r w:rsidR="00DE074D" w:rsidRPr="0054453B">
        <w:rPr>
          <w:rFonts w:ascii="Times New Roman" w:hAnsi="Times New Roman"/>
        </w:rPr>
        <w:t>G</w:t>
      </w:r>
      <w:r w:rsidR="00917B4F" w:rsidRPr="0054453B">
        <w:rPr>
          <w:rFonts w:ascii="Times New Roman" w:hAnsi="Times New Roman"/>
        </w:rPr>
        <w:t xml:space="preserve">overnment </w:t>
      </w:r>
      <w:r w:rsidR="0054453B" w:rsidRPr="0054453B">
        <w:rPr>
          <w:rFonts w:ascii="Times New Roman" w:hAnsi="Times New Roman"/>
        </w:rPr>
        <w:t>in consultation with the Tripartite Forum</w:t>
      </w:r>
      <w:r w:rsidR="00917B4F" w:rsidRPr="0054453B">
        <w:rPr>
          <w:rFonts w:ascii="Times New Roman" w:hAnsi="Times New Roman"/>
        </w:rPr>
        <w:t xml:space="preserve"> </w:t>
      </w:r>
      <w:r w:rsidR="00F2053B">
        <w:rPr>
          <w:rFonts w:ascii="Times New Roman" w:hAnsi="Times New Roman"/>
        </w:rPr>
        <w:t xml:space="preserve">on </w:t>
      </w:r>
      <w:r w:rsidR="00917B4F" w:rsidRPr="0054453B">
        <w:rPr>
          <w:rFonts w:ascii="Times New Roman" w:hAnsi="Times New Roman"/>
        </w:rPr>
        <w:t xml:space="preserve">a </w:t>
      </w:r>
      <w:r w:rsidR="0054453B" w:rsidRPr="0054453B">
        <w:rPr>
          <w:rFonts w:ascii="Times New Roman" w:hAnsi="Times New Roman"/>
        </w:rPr>
        <w:t>joint</w:t>
      </w:r>
      <w:r w:rsidR="00376547" w:rsidRPr="0054453B">
        <w:rPr>
          <w:rFonts w:ascii="Times New Roman" w:hAnsi="Times New Roman"/>
        </w:rPr>
        <w:t xml:space="preserve"> </w:t>
      </w:r>
      <w:r w:rsidR="00917B4F" w:rsidRPr="0054453B">
        <w:rPr>
          <w:rFonts w:ascii="Times New Roman" w:hAnsi="Times New Roman"/>
        </w:rPr>
        <w:t>funding framework</w:t>
      </w:r>
      <w:r w:rsidR="0054453B">
        <w:rPr>
          <w:rFonts w:ascii="Times New Roman" w:hAnsi="Times New Roman"/>
        </w:rPr>
        <w:t xml:space="preserve">, which will set out </w:t>
      </w:r>
      <w:r w:rsidR="0054453B" w:rsidRPr="0054453B">
        <w:rPr>
          <w:rFonts w:ascii="Times New Roman" w:hAnsi="Times New Roman"/>
        </w:rPr>
        <w:t>a formal coordination process for funding</w:t>
      </w:r>
      <w:r w:rsidR="00851B1E">
        <w:rPr>
          <w:rFonts w:ascii="Times New Roman" w:hAnsi="Times New Roman"/>
        </w:rPr>
        <w:t xml:space="preserve"> for</w:t>
      </w:r>
      <w:r w:rsidR="0054453B" w:rsidRPr="0054453B">
        <w:rPr>
          <w:rFonts w:ascii="Times New Roman" w:hAnsi="Times New Roman"/>
        </w:rPr>
        <w:t xml:space="preserve"> </w:t>
      </w:r>
      <w:r w:rsidR="0004726E">
        <w:rPr>
          <w:rFonts w:ascii="Times New Roman" w:hAnsi="Times New Roman"/>
        </w:rPr>
        <w:t xml:space="preserve">agreed </w:t>
      </w:r>
      <w:r w:rsidR="0054453B" w:rsidRPr="0054453B">
        <w:rPr>
          <w:rFonts w:ascii="Times New Roman" w:hAnsi="Times New Roman"/>
        </w:rPr>
        <w:t>relevant services</w:t>
      </w:r>
      <w:r w:rsidR="007B57D5">
        <w:rPr>
          <w:rFonts w:ascii="Times New Roman" w:hAnsi="Times New Roman"/>
        </w:rPr>
        <w:t>.</w:t>
      </w:r>
    </w:p>
    <w:p w14:paraId="7248EBAF" w14:textId="28DBDBBF" w:rsidR="0054453B" w:rsidRPr="004278B6" w:rsidRDefault="0004726E" w:rsidP="00D208EF">
      <w:pPr>
        <w:pStyle w:val="ListParagraph"/>
        <w:keepLines/>
        <w:numPr>
          <w:ilvl w:val="0"/>
          <w:numId w:val="2"/>
        </w:numPr>
        <w:spacing w:after="0" w:line="240" w:lineRule="auto"/>
        <w:ind w:left="567" w:hanging="567"/>
        <w:contextualSpacing w:val="0"/>
        <w:rPr>
          <w:rFonts w:ascii="Times New Roman" w:hAnsi="Times New Roman"/>
        </w:rPr>
      </w:pPr>
      <w:r w:rsidRPr="004278B6">
        <w:rPr>
          <w:rFonts w:ascii="Times New Roman" w:hAnsi="Times New Roman"/>
        </w:rPr>
        <w:t>T</w:t>
      </w:r>
      <w:r w:rsidR="007B57D5" w:rsidRPr="004278B6">
        <w:rPr>
          <w:rFonts w:ascii="Times New Roman" w:hAnsi="Times New Roman"/>
        </w:rPr>
        <w:t>he PC identified the Australian Government’s Intensive Family Support Services, administered</w:t>
      </w:r>
      <w:r w:rsidR="00851B1E" w:rsidRPr="004278B6">
        <w:rPr>
          <w:rFonts w:ascii="Times New Roman" w:hAnsi="Times New Roman"/>
        </w:rPr>
        <w:t xml:space="preserve"> by the</w:t>
      </w:r>
      <w:r w:rsidR="007B57D5" w:rsidRPr="004278B6">
        <w:rPr>
          <w:rFonts w:ascii="Times New Roman" w:hAnsi="Times New Roman"/>
        </w:rPr>
        <w:t xml:space="preserve"> Department of Social Services (DSS), and the Northern Territory Government’s Intensive Family Preservation Service may enable an early opportunity to trial </w:t>
      </w:r>
      <w:r w:rsidR="00C2430A" w:rsidRPr="004278B6">
        <w:rPr>
          <w:rFonts w:ascii="Times New Roman" w:hAnsi="Times New Roman"/>
        </w:rPr>
        <w:t xml:space="preserve">a </w:t>
      </w:r>
      <w:r w:rsidR="00033035" w:rsidRPr="004278B6">
        <w:rPr>
          <w:rFonts w:ascii="Times New Roman" w:hAnsi="Times New Roman"/>
        </w:rPr>
        <w:t xml:space="preserve">more </w:t>
      </w:r>
      <w:r w:rsidR="00C2430A" w:rsidRPr="004278B6">
        <w:rPr>
          <w:rFonts w:ascii="Times New Roman" w:hAnsi="Times New Roman"/>
        </w:rPr>
        <w:t xml:space="preserve">coordinated </w:t>
      </w:r>
      <w:r w:rsidR="005B1092" w:rsidRPr="004278B6">
        <w:rPr>
          <w:rFonts w:ascii="Times New Roman" w:hAnsi="Times New Roman"/>
        </w:rPr>
        <w:t>approach</w:t>
      </w:r>
      <w:r w:rsidR="00C2430A" w:rsidRPr="004278B6">
        <w:rPr>
          <w:rFonts w:ascii="Times New Roman" w:hAnsi="Times New Roman"/>
        </w:rPr>
        <w:t xml:space="preserve"> to </w:t>
      </w:r>
      <w:r w:rsidR="007B57D5" w:rsidRPr="004278B6">
        <w:rPr>
          <w:rFonts w:ascii="Times New Roman" w:hAnsi="Times New Roman"/>
        </w:rPr>
        <w:t>funding</w:t>
      </w:r>
      <w:r w:rsidRPr="004278B6">
        <w:rPr>
          <w:rFonts w:ascii="Times New Roman" w:hAnsi="Times New Roman"/>
        </w:rPr>
        <w:t xml:space="preserve">. </w:t>
      </w:r>
      <w:r w:rsidR="007B57D5" w:rsidRPr="004278B6">
        <w:rPr>
          <w:rFonts w:ascii="Times New Roman" w:hAnsi="Times New Roman"/>
        </w:rPr>
        <w:t xml:space="preserve">DSS has been working with Territory Families to agree </w:t>
      </w:r>
      <w:r w:rsidR="006B272C" w:rsidRPr="004278B6">
        <w:rPr>
          <w:rFonts w:ascii="Times New Roman" w:hAnsi="Times New Roman"/>
        </w:rPr>
        <w:t xml:space="preserve">on </w:t>
      </w:r>
      <w:r w:rsidR="007B57D5" w:rsidRPr="004278B6">
        <w:rPr>
          <w:rFonts w:ascii="Times New Roman" w:hAnsi="Times New Roman"/>
        </w:rPr>
        <w:t xml:space="preserve">a shared approach to program review and staged improvement. </w:t>
      </w:r>
    </w:p>
    <w:p w14:paraId="72868A9D" w14:textId="734E303D" w:rsidR="00F523DA" w:rsidRDefault="001A7F34" w:rsidP="00D208EF">
      <w:pPr>
        <w:pStyle w:val="ListParagraph"/>
        <w:keepLines/>
        <w:numPr>
          <w:ilvl w:val="0"/>
          <w:numId w:val="2"/>
        </w:numPr>
        <w:spacing w:after="0" w:line="240" w:lineRule="auto"/>
        <w:ind w:left="567" w:hanging="567"/>
        <w:contextualSpacing w:val="0"/>
        <w:rPr>
          <w:rFonts w:ascii="Times New Roman" w:hAnsi="Times New Roman"/>
        </w:rPr>
      </w:pPr>
      <w:r w:rsidRPr="0054453B">
        <w:rPr>
          <w:rFonts w:ascii="Times New Roman" w:hAnsi="Times New Roman"/>
        </w:rPr>
        <w:t>T</w:t>
      </w:r>
      <w:r w:rsidR="00D602BF" w:rsidRPr="0054453B">
        <w:rPr>
          <w:rFonts w:ascii="Times New Roman" w:hAnsi="Times New Roman"/>
        </w:rPr>
        <w:t xml:space="preserve">he </w:t>
      </w:r>
      <w:r w:rsidR="00FF4AD1">
        <w:rPr>
          <w:rFonts w:ascii="Times New Roman" w:hAnsi="Times New Roman"/>
        </w:rPr>
        <w:t>National Indigenous Australians Agency (</w:t>
      </w:r>
      <w:r w:rsidR="00D602BF" w:rsidRPr="0054453B">
        <w:rPr>
          <w:rFonts w:ascii="Times New Roman" w:hAnsi="Times New Roman"/>
        </w:rPr>
        <w:t>N</w:t>
      </w:r>
      <w:r w:rsidR="0070246B" w:rsidRPr="0054453B">
        <w:rPr>
          <w:rFonts w:ascii="Times New Roman" w:hAnsi="Times New Roman"/>
        </w:rPr>
        <w:t>IAA</w:t>
      </w:r>
      <w:r w:rsidR="00FF4AD1">
        <w:rPr>
          <w:rFonts w:ascii="Times New Roman" w:hAnsi="Times New Roman"/>
        </w:rPr>
        <w:t>)</w:t>
      </w:r>
      <w:r w:rsidR="0070246B" w:rsidRPr="0054453B">
        <w:rPr>
          <w:rFonts w:ascii="Times New Roman" w:hAnsi="Times New Roman"/>
        </w:rPr>
        <w:t xml:space="preserve"> </w:t>
      </w:r>
      <w:r w:rsidR="00B070FA">
        <w:rPr>
          <w:rFonts w:ascii="Times New Roman" w:hAnsi="Times New Roman"/>
        </w:rPr>
        <w:t>has negotiated</w:t>
      </w:r>
      <w:r w:rsidR="0070246B" w:rsidRPr="0054453B">
        <w:rPr>
          <w:rFonts w:ascii="Times New Roman" w:hAnsi="Times New Roman"/>
        </w:rPr>
        <w:t xml:space="preserve"> a new Indigenous Advancement Strategy (IAS) Funding Agreement with Territory</w:t>
      </w:r>
      <w:r w:rsidR="00C22B0B">
        <w:rPr>
          <w:rFonts w:ascii="Times New Roman" w:hAnsi="Times New Roman"/>
        </w:rPr>
        <w:t xml:space="preserve"> Families </w:t>
      </w:r>
      <w:r w:rsidR="00B070FA">
        <w:rPr>
          <w:rFonts w:ascii="Times New Roman" w:hAnsi="Times New Roman"/>
        </w:rPr>
        <w:t xml:space="preserve">to support the continuation of family safety activities for an additional two years until 2022. </w:t>
      </w:r>
      <w:r w:rsidR="0070246B" w:rsidRPr="0054453B">
        <w:rPr>
          <w:rFonts w:ascii="Times New Roman" w:hAnsi="Times New Roman"/>
        </w:rPr>
        <w:t>This is occurring within the context o</w:t>
      </w:r>
      <w:r w:rsidR="00144215" w:rsidRPr="0054453B">
        <w:rPr>
          <w:rFonts w:ascii="Times New Roman" w:hAnsi="Times New Roman"/>
        </w:rPr>
        <w:t xml:space="preserve">f an integrated service system, and </w:t>
      </w:r>
      <w:r w:rsidR="002F43D9" w:rsidRPr="0054453B">
        <w:rPr>
          <w:rFonts w:ascii="Times New Roman" w:hAnsi="Times New Roman"/>
        </w:rPr>
        <w:t>will inform</w:t>
      </w:r>
      <w:r w:rsidR="0070246B" w:rsidRPr="0054453B">
        <w:rPr>
          <w:rFonts w:ascii="Times New Roman" w:hAnsi="Times New Roman"/>
        </w:rPr>
        <w:t xml:space="preserve"> how a </w:t>
      </w:r>
      <w:r w:rsidR="002F43D9" w:rsidRPr="0054453B">
        <w:rPr>
          <w:rFonts w:ascii="Times New Roman" w:hAnsi="Times New Roman"/>
        </w:rPr>
        <w:t>joint</w:t>
      </w:r>
      <w:r w:rsidR="0070246B" w:rsidRPr="0054453B">
        <w:rPr>
          <w:rFonts w:ascii="Times New Roman" w:hAnsi="Times New Roman"/>
        </w:rPr>
        <w:t xml:space="preserve"> </w:t>
      </w:r>
      <w:r w:rsidR="00D602BF" w:rsidRPr="0054453B">
        <w:rPr>
          <w:rFonts w:ascii="Times New Roman" w:hAnsi="Times New Roman"/>
        </w:rPr>
        <w:t>funding framework could operate</w:t>
      </w:r>
      <w:bookmarkStart w:id="9" w:name="_Toc45800458"/>
      <w:r w:rsidR="002F43D9" w:rsidRPr="0054453B">
        <w:rPr>
          <w:rFonts w:ascii="Times New Roman" w:hAnsi="Times New Roman"/>
        </w:rPr>
        <w:t>.</w:t>
      </w:r>
    </w:p>
    <w:p w14:paraId="6AE2A768" w14:textId="54F9FE08" w:rsidR="007F174A" w:rsidRDefault="00A0026A" w:rsidP="009801CC">
      <w:pPr>
        <w:pStyle w:val="ListParagraph"/>
        <w:keepLines/>
        <w:numPr>
          <w:ilvl w:val="0"/>
          <w:numId w:val="2"/>
        </w:numPr>
        <w:spacing w:after="0" w:line="240" w:lineRule="auto"/>
        <w:ind w:left="567" w:hanging="567"/>
        <w:contextualSpacing w:val="0"/>
        <w:rPr>
          <w:rFonts w:ascii="Times New Roman" w:hAnsi="Times New Roman"/>
        </w:rPr>
      </w:pPr>
      <w:r w:rsidRPr="00F907BC">
        <w:rPr>
          <w:rFonts w:ascii="Times New Roman" w:hAnsi="Times New Roman"/>
        </w:rPr>
        <w:t>In addition, the Australian Government and Indigenous Australians are co-designing options for an Indigenous voice at a local, regional and national level.</w:t>
      </w:r>
      <w:r w:rsidRPr="00CE27DC">
        <w:rPr>
          <w:rFonts w:ascii="Times New Roman" w:hAnsi="Times New Roman"/>
        </w:rPr>
        <w:t xml:space="preserve"> As part of this process, t</w:t>
      </w:r>
      <w:r w:rsidRPr="00F907BC">
        <w:rPr>
          <w:rFonts w:ascii="Times New Roman" w:hAnsi="Times New Roman"/>
        </w:rPr>
        <w:t xml:space="preserve">he Local </w:t>
      </w:r>
      <w:r w:rsidR="00F75CAA">
        <w:rPr>
          <w:rFonts w:ascii="Times New Roman" w:hAnsi="Times New Roman"/>
        </w:rPr>
        <w:t>and</w:t>
      </w:r>
      <w:r w:rsidRPr="00F907BC">
        <w:rPr>
          <w:rFonts w:ascii="Times New Roman" w:hAnsi="Times New Roman"/>
        </w:rPr>
        <w:t xml:space="preserve"> Regional Co-design Group was established by the Minister for Indigenous Australians on 4 March 2020.</w:t>
      </w:r>
      <w:r w:rsidR="00E51D8E">
        <w:rPr>
          <w:rFonts w:ascii="Times New Roman" w:hAnsi="Times New Roman"/>
        </w:rPr>
        <w:t xml:space="preserve"> </w:t>
      </w:r>
      <w:r w:rsidR="00E51D8E" w:rsidRPr="004278B6">
        <w:rPr>
          <w:rFonts w:ascii="Times New Roman" w:hAnsi="Times New Roman"/>
        </w:rPr>
        <w:t xml:space="preserve">The Group has developed proposals for how Indigenous Australians in local communities and regions could come together </w:t>
      </w:r>
      <w:r w:rsidR="003244F8" w:rsidRPr="004278B6">
        <w:rPr>
          <w:rFonts w:ascii="Times New Roman" w:hAnsi="Times New Roman"/>
        </w:rPr>
        <w:t>for</w:t>
      </w:r>
      <w:r w:rsidR="00E51D8E" w:rsidRPr="004278B6">
        <w:rPr>
          <w:rFonts w:ascii="Times New Roman" w:hAnsi="Times New Roman"/>
        </w:rPr>
        <w:t xml:space="preserve"> greater input into local and regional decision-making in partnership with all levels of government. Broad public consultation has been undertaken on these proposals and advice will be provided to Government by mid</w:t>
      </w:r>
      <w:r w:rsidR="003244F8" w:rsidRPr="004278B6">
        <w:rPr>
          <w:rFonts w:ascii="Times New Roman" w:hAnsi="Times New Roman"/>
        </w:rPr>
        <w:t>-</w:t>
      </w:r>
      <w:r w:rsidR="00E51D8E" w:rsidRPr="004278B6">
        <w:rPr>
          <w:rFonts w:ascii="Times New Roman" w:hAnsi="Times New Roman"/>
        </w:rPr>
        <w:t>2021.</w:t>
      </w:r>
    </w:p>
    <w:p w14:paraId="287CFC10" w14:textId="42FB9FBE" w:rsidR="009E506F" w:rsidRPr="000F20C1" w:rsidRDefault="00F56AED" w:rsidP="000F20C1">
      <w:pPr>
        <w:pStyle w:val="Heading3"/>
        <w:keepLines/>
        <w:spacing w:before="240" w:line="240" w:lineRule="auto"/>
        <w:rPr>
          <w:rFonts w:ascii="Times New Roman" w:hAnsi="Times New Roman" w:cs="Times New Roman"/>
          <w:color w:val="004253" w:themeColor="accent1" w:themeShade="BF"/>
        </w:rPr>
      </w:pPr>
      <w:r w:rsidRPr="008458BE">
        <w:rPr>
          <w:rFonts w:ascii="Times New Roman" w:hAnsi="Times New Roman" w:cs="Times New Roman"/>
          <w:b/>
          <w:color w:val="004253" w:themeColor="accent1" w:themeShade="BF"/>
        </w:rPr>
        <w:t>Reform Area 2:</w:t>
      </w:r>
      <w:r w:rsidRPr="008458BE">
        <w:rPr>
          <w:rFonts w:ascii="Times New Roman" w:hAnsi="Times New Roman" w:cs="Times New Roman"/>
          <w:color w:val="004253" w:themeColor="accent1" w:themeShade="BF"/>
        </w:rPr>
        <w:t xml:space="preserve"> </w:t>
      </w:r>
      <w:r w:rsidR="000F423F" w:rsidRPr="006B272C">
        <w:rPr>
          <w:rFonts w:ascii="Times New Roman" w:hAnsi="Times New Roman" w:cs="Times New Roman"/>
          <w:color w:val="004253" w:themeColor="accent1" w:themeShade="BF"/>
        </w:rPr>
        <w:t>Longer-term, more collaborative contracting of service providers</w:t>
      </w:r>
      <w:bookmarkEnd w:id="9"/>
      <w:r w:rsidR="009801CC">
        <w:rPr>
          <w:rStyle w:val="FootnoteReference"/>
          <w:rFonts w:ascii="Times New Roman" w:hAnsi="Times New Roman" w:cs="Times New Roman"/>
          <w:color w:val="004253" w:themeColor="accent1" w:themeShade="BF"/>
        </w:rPr>
        <w:footnoteReference w:id="5"/>
      </w:r>
    </w:p>
    <w:p w14:paraId="15CFFE9B" w14:textId="6B2640DD" w:rsidR="00595513" w:rsidRPr="004F67B0" w:rsidRDefault="003174CD" w:rsidP="00D208EF">
      <w:pPr>
        <w:pStyle w:val="ListParagraph"/>
        <w:keepLines/>
        <w:numPr>
          <w:ilvl w:val="0"/>
          <w:numId w:val="2"/>
        </w:numPr>
        <w:spacing w:after="0" w:line="240" w:lineRule="auto"/>
        <w:ind w:left="567" w:hanging="567"/>
        <w:contextualSpacing w:val="0"/>
        <w:rPr>
          <w:rFonts w:ascii="Times New Roman" w:hAnsi="Times New Roman"/>
        </w:rPr>
      </w:pPr>
      <w:bookmarkStart w:id="10" w:name="_Toc28081147"/>
      <w:bookmarkStart w:id="11" w:name="_Toc29373153"/>
      <w:bookmarkStart w:id="12" w:name="_Toc29378900"/>
      <w:bookmarkStart w:id="13" w:name="_Toc29379929"/>
      <w:bookmarkStart w:id="14" w:name="_Toc29391899"/>
      <w:r>
        <w:rPr>
          <w:rFonts w:ascii="Times New Roman" w:hAnsi="Times New Roman"/>
        </w:rPr>
        <w:t>T</w:t>
      </w:r>
      <w:r w:rsidR="00C65053">
        <w:rPr>
          <w:rFonts w:ascii="Times New Roman" w:hAnsi="Times New Roman"/>
        </w:rPr>
        <w:t xml:space="preserve">he PC </w:t>
      </w:r>
      <w:r w:rsidR="003F5C08">
        <w:rPr>
          <w:rFonts w:ascii="Times New Roman" w:hAnsi="Times New Roman"/>
        </w:rPr>
        <w:t>observed</w:t>
      </w:r>
      <w:r w:rsidR="003F5C08" w:rsidRPr="00595513">
        <w:rPr>
          <w:rFonts w:ascii="Times New Roman" w:hAnsi="Times New Roman"/>
        </w:rPr>
        <w:t xml:space="preserve"> </w:t>
      </w:r>
      <w:r w:rsidR="0054453B">
        <w:rPr>
          <w:rFonts w:ascii="Times New Roman" w:hAnsi="Times New Roman"/>
        </w:rPr>
        <w:t xml:space="preserve">that </w:t>
      </w:r>
      <w:r w:rsidR="00C65053">
        <w:rPr>
          <w:rFonts w:ascii="Times New Roman" w:hAnsi="Times New Roman"/>
        </w:rPr>
        <w:t>current funding arrangements can cr</w:t>
      </w:r>
      <w:r w:rsidR="0054453B">
        <w:rPr>
          <w:rFonts w:ascii="Times New Roman" w:hAnsi="Times New Roman"/>
        </w:rPr>
        <w:t>eate uncertainty for providers</w:t>
      </w:r>
      <w:r w:rsidR="00C65053">
        <w:rPr>
          <w:rFonts w:ascii="Times New Roman" w:hAnsi="Times New Roman"/>
        </w:rPr>
        <w:t xml:space="preserve">, </w:t>
      </w:r>
      <w:r w:rsidR="0054453B">
        <w:rPr>
          <w:rFonts w:ascii="Times New Roman" w:hAnsi="Times New Roman"/>
        </w:rPr>
        <w:t xml:space="preserve">and </w:t>
      </w:r>
      <w:r w:rsidR="00C65053">
        <w:rPr>
          <w:rFonts w:ascii="Times New Roman" w:hAnsi="Times New Roman"/>
        </w:rPr>
        <w:t>be ineffective</w:t>
      </w:r>
      <w:r w:rsidR="00502AE3">
        <w:rPr>
          <w:rFonts w:ascii="Times New Roman" w:hAnsi="Times New Roman"/>
        </w:rPr>
        <w:t xml:space="preserve"> </w:t>
      </w:r>
      <w:r w:rsidR="0054453B">
        <w:rPr>
          <w:rFonts w:ascii="Times New Roman" w:hAnsi="Times New Roman"/>
        </w:rPr>
        <w:t>and inflexible in</w:t>
      </w:r>
      <w:r w:rsidR="00502AE3">
        <w:rPr>
          <w:rFonts w:ascii="Times New Roman" w:hAnsi="Times New Roman"/>
        </w:rPr>
        <w:t xml:space="preserve"> addressing complex and long</w:t>
      </w:r>
      <w:r w:rsidR="00502AE3">
        <w:rPr>
          <w:rFonts w:ascii="Times New Roman" w:hAnsi="Times New Roman"/>
        </w:rPr>
        <w:noBreakHyphen/>
      </w:r>
      <w:r w:rsidR="00C65053">
        <w:rPr>
          <w:rFonts w:ascii="Times New Roman" w:hAnsi="Times New Roman"/>
        </w:rPr>
        <w:t>t</w:t>
      </w:r>
      <w:r w:rsidR="00AD6B2C">
        <w:rPr>
          <w:rFonts w:ascii="Times New Roman" w:hAnsi="Times New Roman"/>
        </w:rPr>
        <w:t>erm issues</w:t>
      </w:r>
      <w:r w:rsidR="00C65053">
        <w:rPr>
          <w:rFonts w:ascii="Times New Roman" w:hAnsi="Times New Roman"/>
        </w:rPr>
        <w:t>.</w:t>
      </w:r>
      <w:r w:rsidR="00595513" w:rsidRPr="00595513">
        <w:rPr>
          <w:rFonts w:ascii="Times New Roman" w:hAnsi="Times New Roman"/>
        </w:rPr>
        <w:t xml:space="preserve"> </w:t>
      </w:r>
      <w:r w:rsidR="0054453B" w:rsidRPr="004F67B0">
        <w:rPr>
          <w:rFonts w:ascii="Times New Roman" w:hAnsi="Times New Roman"/>
        </w:rPr>
        <w:t>T</w:t>
      </w:r>
      <w:r w:rsidR="00502AE3" w:rsidRPr="004F67B0">
        <w:rPr>
          <w:rFonts w:ascii="Times New Roman" w:hAnsi="Times New Roman"/>
        </w:rPr>
        <w:t xml:space="preserve">he </w:t>
      </w:r>
      <w:r w:rsidR="00595513" w:rsidRPr="004F67B0">
        <w:rPr>
          <w:rFonts w:ascii="Times New Roman" w:hAnsi="Times New Roman"/>
        </w:rPr>
        <w:t xml:space="preserve">PC </w:t>
      </w:r>
      <w:r w:rsidR="0054453B" w:rsidRPr="004F67B0">
        <w:rPr>
          <w:rFonts w:ascii="Times New Roman" w:hAnsi="Times New Roman"/>
        </w:rPr>
        <w:t xml:space="preserve">therefore </w:t>
      </w:r>
      <w:r w:rsidR="00595513" w:rsidRPr="004F67B0">
        <w:rPr>
          <w:rFonts w:ascii="Times New Roman" w:hAnsi="Times New Roman"/>
        </w:rPr>
        <w:t>advocate</w:t>
      </w:r>
      <w:r w:rsidR="00BE5ED6">
        <w:rPr>
          <w:rFonts w:ascii="Times New Roman" w:hAnsi="Times New Roman"/>
        </w:rPr>
        <w:t>d</w:t>
      </w:r>
      <w:r w:rsidR="00595513" w:rsidRPr="004F67B0">
        <w:rPr>
          <w:rFonts w:ascii="Times New Roman" w:hAnsi="Times New Roman"/>
        </w:rPr>
        <w:t xml:space="preserve"> for </w:t>
      </w:r>
      <w:r w:rsidR="003E428B" w:rsidRPr="004F67B0">
        <w:rPr>
          <w:rFonts w:ascii="Times New Roman" w:hAnsi="Times New Roman"/>
        </w:rPr>
        <w:t xml:space="preserve">a </w:t>
      </w:r>
      <w:r w:rsidR="00595513" w:rsidRPr="004F67B0">
        <w:rPr>
          <w:rFonts w:ascii="Times New Roman" w:hAnsi="Times New Roman"/>
        </w:rPr>
        <w:t>longer term</w:t>
      </w:r>
      <w:r w:rsidR="003E428B" w:rsidRPr="004F67B0">
        <w:rPr>
          <w:rFonts w:ascii="Times New Roman" w:hAnsi="Times New Roman"/>
        </w:rPr>
        <w:t xml:space="preserve"> (minimum of seven years) and </w:t>
      </w:r>
      <w:r w:rsidR="00595513" w:rsidRPr="004F67B0">
        <w:rPr>
          <w:rFonts w:ascii="Times New Roman" w:hAnsi="Times New Roman"/>
        </w:rPr>
        <w:t>more</w:t>
      </w:r>
      <w:r w:rsidR="003E428B" w:rsidRPr="004F67B0">
        <w:rPr>
          <w:rFonts w:ascii="Times New Roman" w:hAnsi="Times New Roman"/>
        </w:rPr>
        <w:t xml:space="preserve"> collaborative approach</w:t>
      </w:r>
      <w:r w:rsidR="00595513" w:rsidRPr="004F67B0">
        <w:rPr>
          <w:rFonts w:ascii="Times New Roman" w:hAnsi="Times New Roman"/>
        </w:rPr>
        <w:t xml:space="preserve"> to contracting service providers</w:t>
      </w:r>
      <w:r w:rsidR="003E428B" w:rsidRPr="004F67B0">
        <w:rPr>
          <w:rFonts w:ascii="Times New Roman" w:hAnsi="Times New Roman"/>
        </w:rPr>
        <w:t xml:space="preserve"> </w:t>
      </w:r>
      <w:r w:rsidR="00595513" w:rsidRPr="004F67B0">
        <w:rPr>
          <w:rFonts w:ascii="Times New Roman" w:hAnsi="Times New Roman"/>
        </w:rPr>
        <w:t>that:</w:t>
      </w:r>
    </w:p>
    <w:p w14:paraId="67672CD0" w14:textId="77777777" w:rsidR="00595513" w:rsidRPr="001375B8" w:rsidRDefault="00595513" w:rsidP="008972CB">
      <w:pPr>
        <w:pStyle w:val="ListParagraph"/>
        <w:keepLines/>
        <w:numPr>
          <w:ilvl w:val="1"/>
          <w:numId w:val="5"/>
        </w:numPr>
        <w:spacing w:before="0" w:after="0" w:line="240" w:lineRule="auto"/>
        <w:ind w:left="1134" w:hanging="357"/>
        <w:contextualSpacing w:val="0"/>
        <w:rPr>
          <w:rFonts w:ascii="Times New Roman" w:hAnsi="Times New Roman"/>
        </w:rPr>
      </w:pPr>
      <w:r w:rsidRPr="001375B8">
        <w:rPr>
          <w:rFonts w:ascii="Times New Roman" w:hAnsi="Times New Roman"/>
        </w:rPr>
        <w:t xml:space="preserve">has a relational approach </w:t>
      </w:r>
      <w:r w:rsidR="003E428B">
        <w:rPr>
          <w:rFonts w:ascii="Times New Roman" w:hAnsi="Times New Roman"/>
        </w:rPr>
        <w:t>and</w:t>
      </w:r>
      <w:r w:rsidRPr="001375B8">
        <w:rPr>
          <w:rFonts w:ascii="Times New Roman" w:hAnsi="Times New Roman"/>
        </w:rPr>
        <w:t xml:space="preserve"> fo</w:t>
      </w:r>
      <w:r w:rsidR="00937E28">
        <w:rPr>
          <w:rFonts w:ascii="Times New Roman" w:hAnsi="Times New Roman"/>
        </w:rPr>
        <w:t>cuses on continuous improvement</w:t>
      </w:r>
    </w:p>
    <w:p w14:paraId="7C2F23B7" w14:textId="77777777" w:rsidR="00595513" w:rsidRDefault="00595513" w:rsidP="008972CB">
      <w:pPr>
        <w:pStyle w:val="ListParagraph"/>
        <w:keepLines/>
        <w:numPr>
          <w:ilvl w:val="1"/>
          <w:numId w:val="5"/>
        </w:numPr>
        <w:spacing w:before="0" w:after="0" w:line="240" w:lineRule="auto"/>
        <w:ind w:left="1134" w:hanging="357"/>
        <w:contextualSpacing w:val="0"/>
        <w:rPr>
          <w:rFonts w:ascii="Times New Roman" w:hAnsi="Times New Roman"/>
        </w:rPr>
      </w:pPr>
      <w:r w:rsidRPr="001375B8">
        <w:rPr>
          <w:rFonts w:ascii="Times New Roman" w:hAnsi="Times New Roman"/>
        </w:rPr>
        <w:t>ensures funding reflects the full cost of service delivery</w:t>
      </w:r>
    </w:p>
    <w:p w14:paraId="0E6A441C" w14:textId="77777777" w:rsidR="007F174A" w:rsidRDefault="00595513" w:rsidP="008972CB">
      <w:pPr>
        <w:pStyle w:val="ListParagraph"/>
        <w:keepLines/>
        <w:numPr>
          <w:ilvl w:val="1"/>
          <w:numId w:val="5"/>
        </w:numPr>
        <w:spacing w:before="0" w:after="0" w:line="240" w:lineRule="auto"/>
        <w:ind w:left="1134" w:hanging="357"/>
        <w:contextualSpacing w:val="0"/>
        <w:rPr>
          <w:rFonts w:ascii="Times New Roman" w:hAnsi="Times New Roman"/>
        </w:rPr>
      </w:pPr>
      <w:r>
        <w:rPr>
          <w:rFonts w:ascii="Times New Roman" w:hAnsi="Times New Roman"/>
        </w:rPr>
        <w:t>t</w:t>
      </w:r>
      <w:r w:rsidRPr="00595513">
        <w:rPr>
          <w:rFonts w:ascii="Times New Roman" w:hAnsi="Times New Roman"/>
        </w:rPr>
        <w:t>ake</w:t>
      </w:r>
      <w:r w:rsidR="00C65053">
        <w:rPr>
          <w:rFonts w:ascii="Times New Roman" w:hAnsi="Times New Roman"/>
        </w:rPr>
        <w:t>s</w:t>
      </w:r>
      <w:r w:rsidRPr="00595513">
        <w:rPr>
          <w:rFonts w:ascii="Times New Roman" w:hAnsi="Times New Roman"/>
        </w:rPr>
        <w:t xml:space="preserve"> into account </w:t>
      </w:r>
      <w:r>
        <w:rPr>
          <w:rFonts w:ascii="Times New Roman" w:hAnsi="Times New Roman"/>
        </w:rPr>
        <w:t xml:space="preserve">the </w:t>
      </w:r>
      <w:r w:rsidRPr="00595513">
        <w:rPr>
          <w:rFonts w:ascii="Times New Roman" w:hAnsi="Times New Roman"/>
        </w:rPr>
        <w:t>providers’ ability to provide cu</w:t>
      </w:r>
      <w:r w:rsidR="00C22B0B">
        <w:rPr>
          <w:rFonts w:ascii="Times New Roman" w:hAnsi="Times New Roman"/>
        </w:rPr>
        <w:t>lturally appropriate services</w:t>
      </w:r>
    </w:p>
    <w:p w14:paraId="639823AB" w14:textId="1FB9079B" w:rsidR="00AD6B2C" w:rsidRPr="00E57F7C" w:rsidRDefault="007F174A" w:rsidP="008972CB">
      <w:pPr>
        <w:pStyle w:val="ListParagraph"/>
        <w:keepLines/>
        <w:numPr>
          <w:ilvl w:val="1"/>
          <w:numId w:val="5"/>
        </w:numPr>
        <w:spacing w:before="0" w:after="0" w:line="240" w:lineRule="auto"/>
        <w:ind w:left="1134" w:hanging="357"/>
        <w:contextualSpacing w:val="0"/>
        <w:rPr>
          <w:rFonts w:ascii="Times New Roman" w:hAnsi="Times New Roman"/>
        </w:rPr>
      </w:pPr>
      <w:proofErr w:type="gramStart"/>
      <w:r>
        <w:rPr>
          <w:rFonts w:ascii="Times New Roman" w:hAnsi="Times New Roman"/>
        </w:rPr>
        <w:t>aims</w:t>
      </w:r>
      <w:proofErr w:type="gramEnd"/>
      <w:r>
        <w:rPr>
          <w:rFonts w:ascii="Times New Roman" w:hAnsi="Times New Roman"/>
        </w:rPr>
        <w:t xml:space="preserve"> to deliver better long-term outcomes for children, families and communities</w:t>
      </w:r>
      <w:r w:rsidR="00595513">
        <w:rPr>
          <w:rFonts w:ascii="Times New Roman" w:hAnsi="Times New Roman"/>
        </w:rPr>
        <w:t>.</w:t>
      </w:r>
    </w:p>
    <w:p w14:paraId="506633C9" w14:textId="19C19ABF" w:rsidR="00C22B0B" w:rsidRPr="00E57F7C" w:rsidRDefault="00BE5ED6" w:rsidP="00D93954">
      <w:pPr>
        <w:pStyle w:val="ListParagraph"/>
        <w:keepLines/>
        <w:numPr>
          <w:ilvl w:val="0"/>
          <w:numId w:val="2"/>
        </w:numPr>
        <w:spacing w:after="0" w:line="240" w:lineRule="auto"/>
        <w:ind w:left="567" w:hanging="567"/>
        <w:contextualSpacing w:val="0"/>
        <w:rPr>
          <w:rFonts w:ascii="Times New Roman" w:hAnsi="Times New Roman"/>
        </w:rPr>
      </w:pPr>
      <w:r>
        <w:rPr>
          <w:rFonts w:ascii="Times New Roman" w:hAnsi="Times New Roman"/>
        </w:rPr>
        <w:t>T</w:t>
      </w:r>
      <w:r w:rsidR="003E428B">
        <w:rPr>
          <w:rFonts w:ascii="Times New Roman" w:hAnsi="Times New Roman"/>
        </w:rPr>
        <w:t xml:space="preserve">he large number of Australian Government grants </w:t>
      </w:r>
      <w:r>
        <w:rPr>
          <w:rFonts w:ascii="Times New Roman" w:hAnsi="Times New Roman"/>
        </w:rPr>
        <w:t xml:space="preserve">means </w:t>
      </w:r>
      <w:r w:rsidR="003E428B">
        <w:rPr>
          <w:rFonts w:ascii="Times New Roman" w:hAnsi="Times New Roman"/>
        </w:rPr>
        <w:t xml:space="preserve">it is necessary to have a degree of consistency across states and territories, notwithstanding the unique context of the Northern Territory. As a result, any unilateral reforms must be carefully </w:t>
      </w:r>
      <w:r w:rsidR="001B6966">
        <w:rPr>
          <w:rFonts w:ascii="Times New Roman" w:hAnsi="Times New Roman"/>
        </w:rPr>
        <w:t>managed</w:t>
      </w:r>
      <w:proofErr w:type="gramStart"/>
      <w:r w:rsidR="001B6966">
        <w:rPr>
          <w:rFonts w:ascii="Times New Roman" w:hAnsi="Times New Roman"/>
        </w:rPr>
        <w:t>,  although</w:t>
      </w:r>
      <w:proofErr w:type="gramEnd"/>
      <w:r w:rsidR="001B6966">
        <w:rPr>
          <w:rFonts w:ascii="Times New Roman" w:hAnsi="Times New Roman"/>
        </w:rPr>
        <w:t xml:space="preserve"> these reforms are supported in-principle</w:t>
      </w:r>
      <w:r w:rsidR="00C22B0B">
        <w:rPr>
          <w:rFonts w:ascii="Times New Roman" w:hAnsi="Times New Roman"/>
        </w:rPr>
        <w:t>.</w:t>
      </w:r>
    </w:p>
    <w:p w14:paraId="65FDFE2F" w14:textId="6EAC8884" w:rsidR="00D93954" w:rsidRPr="0039531E" w:rsidRDefault="00942D10" w:rsidP="00717132">
      <w:pPr>
        <w:pStyle w:val="ListParagraph"/>
        <w:keepLines/>
        <w:numPr>
          <w:ilvl w:val="0"/>
          <w:numId w:val="2"/>
        </w:numPr>
        <w:spacing w:after="0" w:line="240" w:lineRule="auto"/>
        <w:ind w:left="567" w:hanging="567"/>
        <w:contextualSpacing w:val="0"/>
        <w:rPr>
          <w:rFonts w:ascii="Times New Roman" w:hAnsi="Times New Roman"/>
        </w:rPr>
      </w:pPr>
      <w:r w:rsidRPr="00942D10">
        <w:rPr>
          <w:rFonts w:ascii="Times New Roman" w:hAnsi="Times New Roman"/>
        </w:rPr>
        <w:t xml:space="preserve">The Australian Government acknowledges the uncertainties short-term contracts create, particularly to organisations trying to </w:t>
      </w:r>
      <w:r w:rsidR="00717132">
        <w:rPr>
          <w:rFonts w:ascii="Times New Roman" w:hAnsi="Times New Roman"/>
        </w:rPr>
        <w:t>build capacity and plan long-term</w:t>
      </w:r>
      <w:r w:rsidRPr="00942D10">
        <w:rPr>
          <w:rFonts w:ascii="Times New Roman" w:hAnsi="Times New Roman"/>
        </w:rPr>
        <w:t>.</w:t>
      </w:r>
      <w:r>
        <w:rPr>
          <w:rFonts w:ascii="Times New Roman" w:hAnsi="Times New Roman"/>
        </w:rPr>
        <w:t xml:space="preserve"> However, </w:t>
      </w:r>
      <w:r>
        <w:rPr>
          <w:rFonts w:ascii="Times New Roman" w:hAnsi="Times New Roman"/>
          <w:bCs/>
        </w:rPr>
        <w:t>default s</w:t>
      </w:r>
      <w:r w:rsidR="00D93954" w:rsidRPr="00942D10">
        <w:rPr>
          <w:rFonts w:ascii="Times New Roman" w:hAnsi="Times New Roman"/>
          <w:bCs/>
        </w:rPr>
        <w:t>even</w:t>
      </w:r>
      <w:r w:rsidR="00D93954" w:rsidRPr="00942D10">
        <w:rPr>
          <w:rFonts w:ascii="Times New Roman" w:hAnsi="Times New Roman"/>
          <w:b/>
          <w:bCs/>
        </w:rPr>
        <w:t>-</w:t>
      </w:r>
      <w:r w:rsidR="00D93954" w:rsidRPr="00942D10">
        <w:rPr>
          <w:rFonts w:ascii="Times New Roman" w:hAnsi="Times New Roman"/>
          <w:bCs/>
        </w:rPr>
        <w:t xml:space="preserve">year contracts for children and family services </w:t>
      </w:r>
      <w:r w:rsidRPr="00942D10">
        <w:rPr>
          <w:rFonts w:ascii="Times New Roman" w:hAnsi="Times New Roman"/>
          <w:bCs/>
        </w:rPr>
        <w:t xml:space="preserve">also </w:t>
      </w:r>
      <w:r w:rsidR="00D93954" w:rsidRPr="00942D10">
        <w:rPr>
          <w:rFonts w:ascii="Times New Roman" w:hAnsi="Times New Roman"/>
          <w:bCs/>
        </w:rPr>
        <w:t>pose particular challenges, even with mitigation strategies such as early termination clauses.</w:t>
      </w:r>
      <w:r w:rsidR="00717132">
        <w:rPr>
          <w:rFonts w:ascii="Times New Roman" w:hAnsi="Times New Roman"/>
          <w:bCs/>
        </w:rPr>
        <w:t xml:space="preserve"> </w:t>
      </w:r>
      <w:r w:rsidR="00D93954" w:rsidRPr="0039531E">
        <w:rPr>
          <w:rFonts w:ascii="Times New Roman" w:hAnsi="Times New Roman"/>
          <w:bCs/>
        </w:rPr>
        <w:t>Whilst supporting planning continuity</w:t>
      </w:r>
      <w:r w:rsidR="00717132">
        <w:rPr>
          <w:rFonts w:ascii="Times New Roman" w:hAnsi="Times New Roman"/>
          <w:bCs/>
        </w:rPr>
        <w:t xml:space="preserve"> </w:t>
      </w:r>
      <w:r w:rsidR="00D93954" w:rsidRPr="0039531E">
        <w:rPr>
          <w:rFonts w:ascii="Times New Roman" w:hAnsi="Times New Roman"/>
          <w:bCs/>
        </w:rPr>
        <w:t>and staff retention</w:t>
      </w:r>
      <w:r w:rsidR="007F174A" w:rsidRPr="0039531E">
        <w:rPr>
          <w:rFonts w:ascii="Times New Roman" w:hAnsi="Times New Roman"/>
          <w:bCs/>
        </w:rPr>
        <w:t>,</w:t>
      </w:r>
      <w:r w:rsidR="00D93954" w:rsidRPr="0039531E">
        <w:rPr>
          <w:rFonts w:ascii="Times New Roman" w:hAnsi="Times New Roman"/>
          <w:bCs/>
        </w:rPr>
        <w:t xml:space="preserve"> longer-term agreements may not be suitable in all circumstances, </w:t>
      </w:r>
      <w:r w:rsidR="00717132">
        <w:rPr>
          <w:rFonts w:ascii="Times New Roman" w:hAnsi="Times New Roman"/>
          <w:bCs/>
        </w:rPr>
        <w:t xml:space="preserve">and </w:t>
      </w:r>
      <w:r w:rsidR="00D93954" w:rsidRPr="0039531E">
        <w:rPr>
          <w:rFonts w:ascii="Times New Roman" w:hAnsi="Times New Roman"/>
          <w:bCs/>
        </w:rPr>
        <w:t xml:space="preserve">may lock out new organisations and entrench ineffective providers. Conversely, shorter-term grant agreements may be appropriate in some circumstances to be responsive to changing community needs. The </w:t>
      </w:r>
      <w:r w:rsidR="0039531E">
        <w:rPr>
          <w:rFonts w:ascii="Times New Roman" w:hAnsi="Times New Roman"/>
          <w:bCs/>
        </w:rPr>
        <w:t xml:space="preserve">Australian </w:t>
      </w:r>
      <w:r w:rsidR="00D93954" w:rsidRPr="0039531E">
        <w:rPr>
          <w:rFonts w:ascii="Times New Roman" w:hAnsi="Times New Roman"/>
          <w:bCs/>
        </w:rPr>
        <w:t xml:space="preserve">Government will therefore continue to promote and facilitate longer-term agreements where they provide value.  </w:t>
      </w:r>
    </w:p>
    <w:p w14:paraId="3CCE8D8E" w14:textId="4D655C6D" w:rsidR="004B3F4B" w:rsidRPr="00E57F7C" w:rsidRDefault="0039477C" w:rsidP="00D93954">
      <w:pPr>
        <w:pStyle w:val="ListParagraph"/>
        <w:keepLines/>
        <w:numPr>
          <w:ilvl w:val="0"/>
          <w:numId w:val="2"/>
        </w:numPr>
        <w:spacing w:after="0" w:line="240" w:lineRule="auto"/>
        <w:ind w:left="567" w:hanging="567"/>
        <w:contextualSpacing w:val="0"/>
        <w:rPr>
          <w:rFonts w:ascii="Times New Roman" w:hAnsi="Times New Roman"/>
        </w:rPr>
      </w:pPr>
      <w:r w:rsidRPr="00937E28">
        <w:rPr>
          <w:rFonts w:ascii="Times New Roman" w:hAnsi="Times New Roman"/>
        </w:rPr>
        <w:t>T</w:t>
      </w:r>
      <w:r w:rsidR="0096574C" w:rsidRPr="00937E28">
        <w:rPr>
          <w:rFonts w:ascii="Times New Roman" w:hAnsi="Times New Roman"/>
        </w:rPr>
        <w:t>he Australian Government has made substantive progress</w:t>
      </w:r>
      <w:r w:rsidR="00BF67F5" w:rsidRPr="00937E28">
        <w:rPr>
          <w:rFonts w:ascii="Times New Roman" w:hAnsi="Times New Roman"/>
        </w:rPr>
        <w:t xml:space="preserve"> </w:t>
      </w:r>
      <w:r w:rsidRPr="00937E28">
        <w:rPr>
          <w:rFonts w:ascii="Times New Roman" w:hAnsi="Times New Roman"/>
        </w:rPr>
        <w:t xml:space="preserve">with relational contracting </w:t>
      </w:r>
      <w:r w:rsidR="0096574C" w:rsidRPr="00937E28">
        <w:rPr>
          <w:rFonts w:ascii="Times New Roman" w:hAnsi="Times New Roman"/>
        </w:rPr>
        <w:t xml:space="preserve">through </w:t>
      </w:r>
      <w:r w:rsidR="00E62EF6" w:rsidRPr="004F2AF3">
        <w:rPr>
          <w:rFonts w:ascii="Times New Roman" w:hAnsi="Times New Roman"/>
        </w:rPr>
        <w:t>Multi</w:t>
      </w:r>
      <w:r w:rsidR="00E62EF6" w:rsidRPr="004F2AF3">
        <w:rPr>
          <w:rFonts w:ascii="Times New Roman" w:hAnsi="Times New Roman"/>
        </w:rPr>
        <w:noBreakHyphen/>
        <w:t>Agency Partners</w:t>
      </w:r>
      <w:r w:rsidR="00E62EF6">
        <w:rPr>
          <w:rFonts w:ascii="Times New Roman" w:hAnsi="Times New Roman"/>
        </w:rPr>
        <w:t xml:space="preserve">hip </w:t>
      </w:r>
      <w:r w:rsidR="0096574C" w:rsidRPr="00937E28">
        <w:rPr>
          <w:rFonts w:ascii="Times New Roman" w:hAnsi="Times New Roman"/>
        </w:rPr>
        <w:t xml:space="preserve">Agreements between </w:t>
      </w:r>
      <w:r w:rsidR="00307F30">
        <w:rPr>
          <w:rFonts w:ascii="Times New Roman" w:hAnsi="Times New Roman"/>
        </w:rPr>
        <w:t xml:space="preserve">the </w:t>
      </w:r>
      <w:r w:rsidR="0096574C" w:rsidRPr="00937E28">
        <w:rPr>
          <w:rFonts w:ascii="Times New Roman" w:hAnsi="Times New Roman"/>
        </w:rPr>
        <w:t xml:space="preserve">NIAA, </w:t>
      </w:r>
      <w:r w:rsidR="00EF6979" w:rsidRPr="00937E28">
        <w:rPr>
          <w:rFonts w:ascii="Times New Roman" w:hAnsi="Times New Roman"/>
        </w:rPr>
        <w:t xml:space="preserve">the </w:t>
      </w:r>
      <w:r w:rsidR="0096574C" w:rsidRPr="00937E28">
        <w:rPr>
          <w:rFonts w:ascii="Times New Roman" w:hAnsi="Times New Roman"/>
        </w:rPr>
        <w:t xml:space="preserve">Northern Territory Government and </w:t>
      </w:r>
      <w:r w:rsidR="0096574C" w:rsidRPr="00937E28">
        <w:rPr>
          <w:rFonts w:ascii="Times New Roman" w:hAnsi="Times New Roman"/>
          <w:bCs/>
        </w:rPr>
        <w:t>various local Aboriginal corporations</w:t>
      </w:r>
      <w:r w:rsidR="008B5506">
        <w:rPr>
          <w:rFonts w:ascii="Times New Roman" w:hAnsi="Times New Roman"/>
          <w:bCs/>
        </w:rPr>
        <w:t>, which</w:t>
      </w:r>
      <w:r w:rsidR="001A7F34" w:rsidRPr="00937E28">
        <w:rPr>
          <w:rFonts w:ascii="Times New Roman" w:hAnsi="Times New Roman"/>
          <w:bCs/>
        </w:rPr>
        <w:t xml:space="preserve"> set</w:t>
      </w:r>
      <w:r w:rsidR="0096574C" w:rsidRPr="00937E28">
        <w:rPr>
          <w:rFonts w:ascii="Times New Roman" w:hAnsi="Times New Roman"/>
          <w:bCs/>
        </w:rPr>
        <w:t xml:space="preserve"> out aligned community and government </w:t>
      </w:r>
      <w:r w:rsidR="00C22B0B" w:rsidRPr="00937E28">
        <w:rPr>
          <w:rFonts w:ascii="Times New Roman" w:hAnsi="Times New Roman"/>
          <w:bCs/>
        </w:rPr>
        <w:t>priorities</w:t>
      </w:r>
      <w:r w:rsidR="00EF6979" w:rsidRPr="00937E28">
        <w:rPr>
          <w:rFonts w:ascii="Times New Roman" w:hAnsi="Times New Roman"/>
          <w:bCs/>
        </w:rPr>
        <w:t>,</w:t>
      </w:r>
      <w:r w:rsidR="00C22B0B" w:rsidRPr="00937E28">
        <w:rPr>
          <w:rFonts w:ascii="Times New Roman" w:hAnsi="Times New Roman"/>
          <w:bCs/>
        </w:rPr>
        <w:t xml:space="preserve"> </w:t>
      </w:r>
      <w:r w:rsidR="004B3F4B" w:rsidRPr="00937E28">
        <w:rPr>
          <w:rFonts w:ascii="Times New Roman" w:hAnsi="Times New Roman"/>
          <w:bCs/>
        </w:rPr>
        <w:t>and f</w:t>
      </w:r>
      <w:r w:rsidR="004B3F4B" w:rsidRPr="00937E28">
        <w:rPr>
          <w:rFonts w:ascii="Times New Roman" w:hAnsi="Times New Roman"/>
        </w:rPr>
        <w:t>ocus on b</w:t>
      </w:r>
      <w:r w:rsidR="00EF6979" w:rsidRPr="00937E28">
        <w:rPr>
          <w:rFonts w:ascii="Times New Roman" w:hAnsi="Times New Roman"/>
        </w:rPr>
        <w:t xml:space="preserve">uilding </w:t>
      </w:r>
      <w:r w:rsidR="008B5506">
        <w:rPr>
          <w:rFonts w:ascii="Times New Roman" w:hAnsi="Times New Roman"/>
        </w:rPr>
        <w:t xml:space="preserve">organisational </w:t>
      </w:r>
      <w:r w:rsidR="00EF6979" w:rsidRPr="00937E28">
        <w:rPr>
          <w:rFonts w:ascii="Times New Roman" w:hAnsi="Times New Roman"/>
        </w:rPr>
        <w:t>capability</w:t>
      </w:r>
      <w:r w:rsidR="004B3F4B" w:rsidRPr="00937E28">
        <w:rPr>
          <w:rFonts w:ascii="Times New Roman" w:hAnsi="Times New Roman"/>
        </w:rPr>
        <w:t>.</w:t>
      </w:r>
    </w:p>
    <w:p w14:paraId="73D799FC" w14:textId="2B7C9A21" w:rsidR="00FE6A01" w:rsidRPr="003D2FFB" w:rsidRDefault="00BF67F5" w:rsidP="00D208EF">
      <w:pPr>
        <w:pStyle w:val="ListParagraph"/>
        <w:keepLines/>
        <w:numPr>
          <w:ilvl w:val="0"/>
          <w:numId w:val="2"/>
        </w:numPr>
        <w:spacing w:after="0" w:line="240" w:lineRule="auto"/>
        <w:ind w:left="567" w:hanging="567"/>
        <w:contextualSpacing w:val="0"/>
        <w:rPr>
          <w:rFonts w:ascii="Times New Roman" w:hAnsi="Times New Roman"/>
          <w:bCs/>
        </w:rPr>
      </w:pPr>
      <w:r w:rsidRPr="003D2FFB">
        <w:rPr>
          <w:rFonts w:ascii="Times New Roman" w:hAnsi="Times New Roman"/>
        </w:rPr>
        <w:t xml:space="preserve">Further to this, the Australian Government is committed to increasing the participation of communities in </w:t>
      </w:r>
      <w:r w:rsidR="00E70948" w:rsidRPr="003D2FFB">
        <w:rPr>
          <w:rFonts w:ascii="Times New Roman" w:hAnsi="Times New Roman"/>
        </w:rPr>
        <w:t>the design of grant activities</w:t>
      </w:r>
      <w:r w:rsidR="001375B8" w:rsidRPr="003D2FFB">
        <w:rPr>
          <w:rFonts w:ascii="Times New Roman" w:hAnsi="Times New Roman"/>
        </w:rPr>
        <w:t xml:space="preserve"> to ensure</w:t>
      </w:r>
      <w:r w:rsidR="003E428B" w:rsidRPr="003D2FFB">
        <w:rPr>
          <w:rFonts w:ascii="Times New Roman" w:hAnsi="Times New Roman"/>
        </w:rPr>
        <w:t xml:space="preserve"> our grants are fit</w:t>
      </w:r>
      <w:r w:rsidR="003E428B" w:rsidRPr="003D2FFB">
        <w:rPr>
          <w:rFonts w:ascii="Times New Roman" w:hAnsi="Times New Roman"/>
        </w:rPr>
        <w:noBreakHyphen/>
        <w:t>for</w:t>
      </w:r>
      <w:r w:rsidR="003E428B" w:rsidRPr="003D2FFB">
        <w:rPr>
          <w:rFonts w:ascii="Times New Roman" w:hAnsi="Times New Roman"/>
        </w:rPr>
        <w:noBreakHyphen/>
        <w:t xml:space="preserve">purpose, </w:t>
      </w:r>
      <w:r w:rsidRPr="003D2FFB">
        <w:rPr>
          <w:rFonts w:ascii="Times New Roman" w:hAnsi="Times New Roman"/>
        </w:rPr>
        <w:t>consider th</w:t>
      </w:r>
      <w:r w:rsidR="003E428B" w:rsidRPr="003D2FFB">
        <w:rPr>
          <w:rFonts w:ascii="Times New Roman" w:hAnsi="Times New Roman"/>
        </w:rPr>
        <w:t>e full cost of service delivery</w:t>
      </w:r>
      <w:r w:rsidR="007F174A">
        <w:rPr>
          <w:rFonts w:ascii="Times New Roman" w:hAnsi="Times New Roman"/>
        </w:rPr>
        <w:t>, especially in remote areas</w:t>
      </w:r>
      <w:r w:rsidR="003E428B" w:rsidRPr="003D2FFB">
        <w:rPr>
          <w:rFonts w:ascii="Times New Roman" w:hAnsi="Times New Roman"/>
        </w:rPr>
        <w:t xml:space="preserve">, and </w:t>
      </w:r>
      <w:r w:rsidR="0039477C" w:rsidRPr="003D2FFB">
        <w:rPr>
          <w:rFonts w:ascii="Times New Roman" w:hAnsi="Times New Roman"/>
          <w:bCs/>
        </w:rPr>
        <w:t>ensure there is sufficient time for providers to design appropriate services and apply for funding.</w:t>
      </w:r>
      <w:r w:rsidR="003E428B" w:rsidRPr="003D2FFB">
        <w:rPr>
          <w:rFonts w:ascii="Times New Roman" w:hAnsi="Times New Roman"/>
          <w:bCs/>
        </w:rPr>
        <w:t xml:space="preserve"> </w:t>
      </w:r>
      <w:r w:rsidR="004030FE" w:rsidRPr="003D2FFB">
        <w:rPr>
          <w:rFonts w:ascii="Times New Roman" w:hAnsi="Times New Roman"/>
        </w:rPr>
        <w:t>For example, under the</w:t>
      </w:r>
      <w:r w:rsidR="001137FC" w:rsidRPr="003D2FFB">
        <w:rPr>
          <w:rFonts w:ascii="Times New Roman" w:hAnsi="Times New Roman"/>
        </w:rPr>
        <w:t xml:space="preserve"> IAS</w:t>
      </w:r>
      <w:r w:rsidR="004030FE" w:rsidRPr="003D2FFB">
        <w:rPr>
          <w:rFonts w:ascii="Times New Roman" w:hAnsi="Times New Roman"/>
        </w:rPr>
        <w:t>, grant p</w:t>
      </w:r>
      <w:r w:rsidR="004030FE" w:rsidRPr="003D2FFB">
        <w:rPr>
          <w:rFonts w:ascii="Times New Roman" w:hAnsi="Times New Roman"/>
          <w:bCs/>
        </w:rPr>
        <w:t>roposals are developed with</w:t>
      </w:r>
      <w:r w:rsidR="00851B1E" w:rsidRPr="003D2FFB">
        <w:rPr>
          <w:rFonts w:ascii="Times New Roman" w:hAnsi="Times New Roman"/>
          <w:bCs/>
        </w:rPr>
        <w:t xml:space="preserve"> or by</w:t>
      </w:r>
      <w:r w:rsidR="004030FE" w:rsidRPr="003D2FFB">
        <w:rPr>
          <w:rFonts w:ascii="Times New Roman" w:hAnsi="Times New Roman"/>
          <w:bCs/>
        </w:rPr>
        <w:t xml:space="preserve"> the community or group that will be impacted by the </w:t>
      </w:r>
      <w:r w:rsidR="004030FE" w:rsidRPr="007E6AC0">
        <w:rPr>
          <w:rFonts w:ascii="Times New Roman" w:hAnsi="Times New Roman"/>
          <w:bCs/>
        </w:rPr>
        <w:t>activity</w:t>
      </w:r>
      <w:r w:rsidR="00A349B4" w:rsidRPr="007E6AC0">
        <w:rPr>
          <w:rFonts w:ascii="Times New Roman" w:hAnsi="Times New Roman"/>
          <w:bCs/>
        </w:rPr>
        <w:t xml:space="preserve"> whilst also being aligned with </w:t>
      </w:r>
      <w:r w:rsidR="003D2FFB" w:rsidRPr="007E6AC0">
        <w:rPr>
          <w:rFonts w:ascii="Times New Roman" w:hAnsi="Times New Roman"/>
          <w:bCs/>
        </w:rPr>
        <w:t>NIAA</w:t>
      </w:r>
      <w:r w:rsidR="00A349B4" w:rsidRPr="007E6AC0">
        <w:rPr>
          <w:rFonts w:ascii="Times New Roman" w:hAnsi="Times New Roman"/>
          <w:bCs/>
        </w:rPr>
        <w:t xml:space="preserve"> investment </w:t>
      </w:r>
      <w:r w:rsidR="00B61A72" w:rsidRPr="007E6AC0">
        <w:rPr>
          <w:rFonts w:ascii="Times New Roman" w:hAnsi="Times New Roman"/>
          <w:bCs/>
        </w:rPr>
        <w:t>commitments and processes</w:t>
      </w:r>
      <w:r w:rsidR="004030FE" w:rsidRPr="007E6AC0">
        <w:rPr>
          <w:rFonts w:ascii="Times New Roman" w:hAnsi="Times New Roman"/>
          <w:bCs/>
        </w:rPr>
        <w:t>.</w:t>
      </w:r>
      <w:r w:rsidR="004030FE" w:rsidRPr="003D2FFB">
        <w:rPr>
          <w:rFonts w:ascii="Times New Roman" w:hAnsi="Times New Roman"/>
          <w:bCs/>
        </w:rPr>
        <w:t xml:space="preserve"> </w:t>
      </w:r>
    </w:p>
    <w:p w14:paraId="313B5F1F" w14:textId="68DAF563" w:rsidR="00CC727D" w:rsidRPr="00937E28" w:rsidRDefault="00606850" w:rsidP="00D208EF">
      <w:pPr>
        <w:pStyle w:val="ListParagraph"/>
        <w:keepLines/>
        <w:numPr>
          <w:ilvl w:val="0"/>
          <w:numId w:val="2"/>
        </w:numPr>
        <w:spacing w:after="0" w:line="240" w:lineRule="auto"/>
        <w:ind w:left="567" w:hanging="567"/>
        <w:contextualSpacing w:val="0"/>
        <w:rPr>
          <w:rFonts w:ascii="Times New Roman" w:eastAsiaTheme="majorEastAsia" w:hAnsi="Times New Roman"/>
        </w:rPr>
      </w:pPr>
      <w:r>
        <w:rPr>
          <w:rFonts w:ascii="Times New Roman" w:eastAsiaTheme="majorEastAsia" w:hAnsi="Times New Roman"/>
        </w:rPr>
        <w:t>T</w:t>
      </w:r>
      <w:r w:rsidR="00C430EA" w:rsidRPr="00937E28">
        <w:rPr>
          <w:rFonts w:ascii="Times New Roman" w:eastAsiaTheme="majorEastAsia" w:hAnsi="Times New Roman"/>
        </w:rPr>
        <w:t xml:space="preserve">he Australian Government is </w:t>
      </w:r>
      <w:r w:rsidR="0039531E">
        <w:rPr>
          <w:rFonts w:ascii="Times New Roman" w:eastAsiaTheme="majorEastAsia" w:hAnsi="Times New Roman"/>
        </w:rPr>
        <w:t xml:space="preserve">also </w:t>
      </w:r>
      <w:r w:rsidR="00804956">
        <w:rPr>
          <w:rFonts w:ascii="Times New Roman" w:eastAsiaTheme="majorEastAsia" w:hAnsi="Times New Roman"/>
        </w:rPr>
        <w:t xml:space="preserve">committed </w:t>
      </w:r>
      <w:r w:rsidR="00937E28" w:rsidRPr="00937E28">
        <w:rPr>
          <w:rFonts w:ascii="Times New Roman" w:eastAsiaTheme="majorEastAsia" w:hAnsi="Times New Roman"/>
        </w:rPr>
        <w:t xml:space="preserve">to </w:t>
      </w:r>
      <w:r w:rsidR="00C430EA" w:rsidRPr="00937E28">
        <w:rPr>
          <w:rFonts w:ascii="Times New Roman" w:eastAsiaTheme="majorEastAsia" w:hAnsi="Times New Roman"/>
        </w:rPr>
        <w:t xml:space="preserve">building the capacity </w:t>
      </w:r>
      <w:r w:rsidR="00804956">
        <w:rPr>
          <w:rFonts w:ascii="Times New Roman" w:eastAsiaTheme="majorEastAsia" w:hAnsi="Times New Roman"/>
        </w:rPr>
        <w:t xml:space="preserve">and sustainability </w:t>
      </w:r>
      <w:r w:rsidR="00C430EA" w:rsidRPr="00937E28">
        <w:rPr>
          <w:rFonts w:ascii="Times New Roman" w:eastAsiaTheme="majorEastAsia" w:hAnsi="Times New Roman"/>
        </w:rPr>
        <w:t>of Aboriginal organisations</w:t>
      </w:r>
      <w:r w:rsidR="00804956">
        <w:rPr>
          <w:rFonts w:ascii="Times New Roman" w:eastAsiaTheme="majorEastAsia" w:hAnsi="Times New Roman"/>
        </w:rPr>
        <w:t xml:space="preserve">. </w:t>
      </w:r>
      <w:r w:rsidR="00C430EA" w:rsidRPr="00937E28">
        <w:rPr>
          <w:rFonts w:ascii="Times New Roman" w:eastAsiaTheme="majorEastAsia" w:hAnsi="Times New Roman"/>
        </w:rPr>
        <w:t xml:space="preserve">We are doing this </w:t>
      </w:r>
      <w:r w:rsidR="00937E28" w:rsidRPr="00937E28">
        <w:rPr>
          <w:rFonts w:ascii="Times New Roman" w:eastAsiaTheme="majorEastAsia" w:hAnsi="Times New Roman"/>
        </w:rPr>
        <w:t>through initiatives including</w:t>
      </w:r>
      <w:r w:rsidR="00CC727D" w:rsidRPr="00937E28">
        <w:rPr>
          <w:rFonts w:ascii="Times New Roman" w:eastAsiaTheme="majorEastAsia" w:hAnsi="Times New Roman"/>
        </w:rPr>
        <w:t>:</w:t>
      </w:r>
    </w:p>
    <w:p w14:paraId="4DBCE46E" w14:textId="77777777" w:rsidR="00937E28" w:rsidRPr="00937E28" w:rsidRDefault="00C430EA" w:rsidP="008972CB">
      <w:pPr>
        <w:pStyle w:val="ListParagraph"/>
        <w:keepLines/>
        <w:numPr>
          <w:ilvl w:val="0"/>
          <w:numId w:val="9"/>
        </w:numPr>
        <w:spacing w:before="0" w:after="0" w:line="240" w:lineRule="auto"/>
        <w:ind w:left="992" w:hanging="357"/>
        <w:contextualSpacing w:val="0"/>
        <w:rPr>
          <w:rFonts w:ascii="Times New Roman" w:eastAsiaTheme="majorEastAsia" w:hAnsi="Times New Roman"/>
        </w:rPr>
      </w:pPr>
      <w:r w:rsidRPr="00937E28">
        <w:rPr>
          <w:rFonts w:ascii="Times New Roman" w:eastAsiaTheme="majorEastAsia" w:hAnsi="Times New Roman"/>
        </w:rPr>
        <w:t>f</w:t>
      </w:r>
      <w:r w:rsidR="001375B8" w:rsidRPr="00937E28">
        <w:rPr>
          <w:rFonts w:ascii="Times New Roman" w:eastAsiaTheme="majorEastAsia" w:hAnsi="Times New Roman"/>
        </w:rPr>
        <w:t>und</w:t>
      </w:r>
      <w:r w:rsidRPr="00937E28">
        <w:rPr>
          <w:rFonts w:ascii="Times New Roman" w:eastAsiaTheme="majorEastAsia" w:hAnsi="Times New Roman"/>
        </w:rPr>
        <w:t>ing</w:t>
      </w:r>
      <w:r w:rsidR="001375B8" w:rsidRPr="00937E28">
        <w:rPr>
          <w:rFonts w:ascii="Times New Roman" w:eastAsiaTheme="majorEastAsia" w:hAnsi="Times New Roman"/>
        </w:rPr>
        <w:t xml:space="preserve"> support through the Aboriginal Governanc</w:t>
      </w:r>
      <w:r w:rsidR="00937E28" w:rsidRPr="00937E28">
        <w:rPr>
          <w:rFonts w:ascii="Times New Roman" w:eastAsiaTheme="majorEastAsia" w:hAnsi="Times New Roman"/>
        </w:rPr>
        <w:t>e and Management Program</w:t>
      </w:r>
    </w:p>
    <w:p w14:paraId="62942454" w14:textId="2F9CF707" w:rsidR="00937E28" w:rsidRPr="00937E28" w:rsidRDefault="00702F44" w:rsidP="008972CB">
      <w:pPr>
        <w:pStyle w:val="ListParagraph"/>
        <w:keepLines/>
        <w:numPr>
          <w:ilvl w:val="0"/>
          <w:numId w:val="9"/>
        </w:numPr>
        <w:spacing w:before="0" w:after="0" w:line="240" w:lineRule="auto"/>
        <w:ind w:left="992" w:hanging="357"/>
        <w:contextualSpacing w:val="0"/>
        <w:rPr>
          <w:rFonts w:ascii="Times New Roman" w:eastAsiaTheme="majorEastAsia" w:hAnsi="Times New Roman"/>
        </w:rPr>
      </w:pPr>
      <w:r w:rsidRPr="00937E28">
        <w:rPr>
          <w:rFonts w:ascii="Times New Roman" w:eastAsiaTheme="majorEastAsia" w:hAnsi="Times New Roman"/>
        </w:rPr>
        <w:t xml:space="preserve">succession planning between </w:t>
      </w:r>
      <w:r w:rsidR="00937E28" w:rsidRPr="00937E28">
        <w:rPr>
          <w:rFonts w:ascii="Times New Roman" w:eastAsiaTheme="majorEastAsia" w:hAnsi="Times New Roman"/>
        </w:rPr>
        <w:t xml:space="preserve">Aboriginal and mainstream </w:t>
      </w:r>
      <w:r w:rsidRPr="00937E28">
        <w:rPr>
          <w:rFonts w:ascii="Times New Roman" w:eastAsiaTheme="majorEastAsia" w:hAnsi="Times New Roman"/>
        </w:rPr>
        <w:t>organisations</w:t>
      </w:r>
      <w:r w:rsidR="001375B8" w:rsidRPr="00937E28">
        <w:rPr>
          <w:rFonts w:ascii="Times New Roman" w:eastAsiaTheme="majorEastAsia" w:hAnsi="Times New Roman"/>
        </w:rPr>
        <w:t xml:space="preserve"> where </w:t>
      </w:r>
      <w:r w:rsidR="00851B1E">
        <w:rPr>
          <w:rFonts w:ascii="Times New Roman" w:eastAsiaTheme="majorEastAsia" w:hAnsi="Times New Roman"/>
        </w:rPr>
        <w:t>there</w:t>
      </w:r>
      <w:r w:rsidR="00851B1E" w:rsidRPr="00937E28">
        <w:rPr>
          <w:rFonts w:ascii="Times New Roman" w:eastAsiaTheme="majorEastAsia" w:hAnsi="Times New Roman"/>
        </w:rPr>
        <w:t xml:space="preserve"> </w:t>
      </w:r>
      <w:r w:rsidR="001375B8" w:rsidRPr="00937E28">
        <w:rPr>
          <w:rFonts w:ascii="Times New Roman" w:eastAsiaTheme="majorEastAsia" w:hAnsi="Times New Roman"/>
        </w:rPr>
        <w:t>is a comm</w:t>
      </w:r>
      <w:r w:rsidR="00937E28" w:rsidRPr="00937E28">
        <w:rPr>
          <w:rFonts w:ascii="Times New Roman" w:eastAsiaTheme="majorEastAsia" w:hAnsi="Times New Roman"/>
        </w:rPr>
        <w:t>itment to transition a service</w:t>
      </w:r>
    </w:p>
    <w:p w14:paraId="68429895" w14:textId="35AFB08A" w:rsidR="004F67B0" w:rsidRPr="000F20C1" w:rsidRDefault="00937E28" w:rsidP="008972CB">
      <w:pPr>
        <w:pStyle w:val="ListParagraph"/>
        <w:keepLines/>
        <w:numPr>
          <w:ilvl w:val="0"/>
          <w:numId w:val="9"/>
        </w:numPr>
        <w:spacing w:before="0" w:after="0" w:line="240" w:lineRule="auto"/>
        <w:ind w:left="992" w:hanging="357"/>
        <w:contextualSpacing w:val="0"/>
        <w:rPr>
          <w:rFonts w:ascii="Times New Roman" w:eastAsiaTheme="majorEastAsia" w:hAnsi="Times New Roman"/>
        </w:rPr>
      </w:pPr>
      <w:proofErr w:type="gramStart"/>
      <w:r w:rsidRPr="00937E28">
        <w:rPr>
          <w:rFonts w:ascii="Times New Roman" w:hAnsi="Times New Roman"/>
          <w:bCs/>
        </w:rPr>
        <w:t>partnership</w:t>
      </w:r>
      <w:proofErr w:type="gramEnd"/>
      <w:r w:rsidRPr="00937E28">
        <w:rPr>
          <w:rFonts w:ascii="Times New Roman" w:hAnsi="Times New Roman"/>
          <w:bCs/>
        </w:rPr>
        <w:t xml:space="preserve"> approaches in funded activities to enable skills sharing between organisations</w:t>
      </w:r>
      <w:r w:rsidR="007F174A">
        <w:rPr>
          <w:rFonts w:ascii="Times New Roman" w:hAnsi="Times New Roman"/>
          <w:bCs/>
        </w:rPr>
        <w:t>.</w:t>
      </w:r>
    </w:p>
    <w:p w14:paraId="22EE55CE" w14:textId="3DB7F5FF" w:rsidR="00F56AED" w:rsidRDefault="00F56AED" w:rsidP="00F75CAA">
      <w:pPr>
        <w:pStyle w:val="Heading3"/>
        <w:keepLines/>
        <w:spacing w:before="240" w:line="240" w:lineRule="auto"/>
        <w:rPr>
          <w:rFonts w:ascii="Times New Roman" w:hAnsi="Times New Roman" w:cs="Times New Roman"/>
          <w:color w:val="004253" w:themeColor="accent1" w:themeShade="BF"/>
        </w:rPr>
      </w:pPr>
      <w:bookmarkStart w:id="15" w:name="_Toc45800459"/>
      <w:r w:rsidRPr="008458BE">
        <w:rPr>
          <w:rFonts w:ascii="Times New Roman" w:hAnsi="Times New Roman" w:cs="Times New Roman"/>
          <w:b/>
          <w:color w:val="004253" w:themeColor="accent1" w:themeShade="BF"/>
        </w:rPr>
        <w:t>Reform Area 3:</w:t>
      </w:r>
      <w:r w:rsidRPr="008458BE">
        <w:rPr>
          <w:rFonts w:ascii="Times New Roman" w:hAnsi="Times New Roman" w:cs="Times New Roman"/>
          <w:color w:val="004253" w:themeColor="accent1" w:themeShade="BF"/>
        </w:rPr>
        <w:t xml:space="preserve"> </w:t>
      </w:r>
      <w:r w:rsidR="000F423F" w:rsidRPr="007F174A">
        <w:rPr>
          <w:rFonts w:ascii="Times New Roman" w:hAnsi="Times New Roman" w:cs="Times New Roman"/>
          <w:color w:val="004253" w:themeColor="accent1" w:themeShade="BF"/>
        </w:rPr>
        <w:t>Better data at the regional and community level</w:t>
      </w:r>
      <w:bookmarkEnd w:id="15"/>
      <w:r w:rsidR="000E771D" w:rsidRPr="007F174A">
        <w:rPr>
          <w:rFonts w:ascii="Times New Roman" w:hAnsi="Times New Roman" w:cs="Times New Roman"/>
          <w:vertAlign w:val="superscript"/>
        </w:rPr>
        <w:footnoteReference w:id="6"/>
      </w:r>
    </w:p>
    <w:p w14:paraId="2C5E8020" w14:textId="4718F725" w:rsidR="00A24DCE" w:rsidRPr="004F67B0" w:rsidRDefault="00CE7078" w:rsidP="00E57F7C">
      <w:pPr>
        <w:pStyle w:val="ListParagraph"/>
        <w:keepLines/>
        <w:numPr>
          <w:ilvl w:val="0"/>
          <w:numId w:val="2"/>
        </w:numPr>
        <w:spacing w:before="240" w:after="0" w:line="240" w:lineRule="auto"/>
        <w:ind w:left="567" w:hanging="567"/>
        <w:contextualSpacing w:val="0"/>
        <w:rPr>
          <w:rFonts w:ascii="Times New Roman" w:hAnsi="Times New Roman"/>
        </w:rPr>
      </w:pPr>
      <w:r>
        <w:rPr>
          <w:rFonts w:ascii="Times New Roman" w:hAnsi="Times New Roman"/>
          <w:bCs/>
        </w:rPr>
        <w:t>T</w:t>
      </w:r>
      <w:r w:rsidR="004B1954" w:rsidRPr="007D129C">
        <w:rPr>
          <w:rFonts w:ascii="Times New Roman" w:hAnsi="Times New Roman"/>
          <w:bCs/>
        </w:rPr>
        <w:t>he PC</w:t>
      </w:r>
      <w:r w:rsidR="00727F02">
        <w:rPr>
          <w:rFonts w:ascii="Times New Roman" w:hAnsi="Times New Roman"/>
          <w:bCs/>
        </w:rPr>
        <w:t xml:space="preserve"> </w:t>
      </w:r>
      <w:r w:rsidR="00E75151">
        <w:rPr>
          <w:rFonts w:ascii="Times New Roman" w:hAnsi="Times New Roman"/>
          <w:bCs/>
        </w:rPr>
        <w:t>determined</w:t>
      </w:r>
      <w:r w:rsidR="00E75151" w:rsidRPr="007D129C">
        <w:rPr>
          <w:rFonts w:ascii="Times New Roman" w:hAnsi="Times New Roman"/>
          <w:bCs/>
        </w:rPr>
        <w:t xml:space="preserve"> </w:t>
      </w:r>
      <w:r w:rsidR="004B1954" w:rsidRPr="007D129C">
        <w:rPr>
          <w:rFonts w:ascii="Times New Roman" w:hAnsi="Times New Roman"/>
          <w:bCs/>
        </w:rPr>
        <w:t xml:space="preserve">the </w:t>
      </w:r>
      <w:r w:rsidR="004B1954" w:rsidRPr="007D129C">
        <w:rPr>
          <w:rFonts w:ascii="Times New Roman" w:hAnsi="Times New Roman"/>
        </w:rPr>
        <w:t xml:space="preserve">funding landscape for children and family services is opaque, making it difficult to </w:t>
      </w:r>
      <w:r w:rsidR="00E256EF">
        <w:rPr>
          <w:rFonts w:ascii="Times New Roman" w:hAnsi="Times New Roman"/>
        </w:rPr>
        <w:t xml:space="preserve">gain an overall picture of service delivery and </w:t>
      </w:r>
      <w:r w:rsidR="004B1954" w:rsidRPr="007D129C">
        <w:rPr>
          <w:rFonts w:ascii="Times New Roman" w:hAnsi="Times New Roman"/>
        </w:rPr>
        <w:t>assess current services</w:t>
      </w:r>
      <w:r w:rsidR="007D129C">
        <w:rPr>
          <w:rFonts w:ascii="Times New Roman" w:hAnsi="Times New Roman"/>
        </w:rPr>
        <w:t xml:space="preserve">. </w:t>
      </w:r>
      <w:r w:rsidR="004B1954" w:rsidRPr="007D129C">
        <w:rPr>
          <w:rFonts w:ascii="Times New Roman" w:hAnsi="Times New Roman"/>
        </w:rPr>
        <w:t xml:space="preserve">This includes a lack of oversight of how service delivery is contributing to </w:t>
      </w:r>
      <w:r w:rsidR="007D129C" w:rsidRPr="007D129C">
        <w:rPr>
          <w:rFonts w:ascii="Times New Roman" w:hAnsi="Times New Roman"/>
        </w:rPr>
        <w:t>outcomes for children and families, and how these outcomes are changing over time</w:t>
      </w:r>
      <w:r w:rsidR="004B1954" w:rsidRPr="007D129C">
        <w:rPr>
          <w:rFonts w:ascii="Times New Roman" w:hAnsi="Times New Roman"/>
        </w:rPr>
        <w:t>.</w:t>
      </w:r>
      <w:r w:rsidR="007D129C" w:rsidRPr="007D129C">
        <w:rPr>
          <w:rFonts w:ascii="Times New Roman" w:hAnsi="Times New Roman"/>
        </w:rPr>
        <w:t xml:space="preserve"> </w:t>
      </w:r>
      <w:r w:rsidRPr="004F67B0">
        <w:rPr>
          <w:rFonts w:ascii="Times New Roman" w:hAnsi="Times New Roman"/>
          <w:bCs/>
        </w:rPr>
        <w:t xml:space="preserve">For these </w:t>
      </w:r>
      <w:r w:rsidR="00312F3C" w:rsidRPr="004F67B0">
        <w:rPr>
          <w:rFonts w:ascii="Times New Roman" w:hAnsi="Times New Roman"/>
          <w:bCs/>
        </w:rPr>
        <w:t>reason</w:t>
      </w:r>
      <w:r w:rsidRPr="004F67B0">
        <w:rPr>
          <w:rFonts w:ascii="Times New Roman" w:hAnsi="Times New Roman"/>
          <w:bCs/>
        </w:rPr>
        <w:t>s</w:t>
      </w:r>
      <w:r w:rsidR="00727F02" w:rsidRPr="004F67B0">
        <w:rPr>
          <w:rFonts w:ascii="Times New Roman" w:hAnsi="Times New Roman"/>
          <w:bCs/>
        </w:rPr>
        <w:t xml:space="preserve">, </w:t>
      </w:r>
      <w:r w:rsidR="00502AE3" w:rsidRPr="004F67B0">
        <w:rPr>
          <w:rFonts w:ascii="Times New Roman" w:hAnsi="Times New Roman"/>
          <w:bCs/>
        </w:rPr>
        <w:t xml:space="preserve">the PC recommended </w:t>
      </w:r>
      <w:r w:rsidR="00A52A5B" w:rsidRPr="004F67B0">
        <w:rPr>
          <w:rFonts w:ascii="Times New Roman" w:hAnsi="Times New Roman"/>
          <w:bCs/>
        </w:rPr>
        <w:t>better</w:t>
      </w:r>
      <w:r w:rsidR="00A52A5B" w:rsidRPr="004F67B0">
        <w:rPr>
          <w:rFonts w:ascii="Times New Roman" w:hAnsi="Times New Roman"/>
        </w:rPr>
        <w:t>, more transparent data should be shared at the community l</w:t>
      </w:r>
      <w:r w:rsidR="004F67B0">
        <w:rPr>
          <w:rFonts w:ascii="Times New Roman" w:hAnsi="Times New Roman"/>
        </w:rPr>
        <w:t>evel</w:t>
      </w:r>
      <w:r w:rsidR="00A52A5B" w:rsidRPr="004F67B0">
        <w:rPr>
          <w:rFonts w:ascii="Times New Roman" w:hAnsi="Times New Roman"/>
        </w:rPr>
        <w:t xml:space="preserve">. </w:t>
      </w:r>
      <w:r w:rsidR="001B4277">
        <w:rPr>
          <w:rFonts w:ascii="Times New Roman" w:hAnsi="Times New Roman"/>
        </w:rPr>
        <w:t>Specifically, governments should:</w:t>
      </w:r>
      <w:r w:rsidRPr="004F67B0">
        <w:rPr>
          <w:rFonts w:ascii="Times New Roman" w:hAnsi="Times New Roman"/>
        </w:rPr>
        <w:t xml:space="preserve"> </w:t>
      </w:r>
    </w:p>
    <w:p w14:paraId="40661F9F" w14:textId="77777777" w:rsidR="00A24DCE" w:rsidRDefault="00A24DCE" w:rsidP="008972CB">
      <w:pPr>
        <w:pStyle w:val="ListParagraph"/>
        <w:keepLines/>
        <w:numPr>
          <w:ilvl w:val="1"/>
          <w:numId w:val="2"/>
        </w:numPr>
        <w:spacing w:before="0" w:after="0" w:line="240" w:lineRule="auto"/>
        <w:ind w:left="992" w:hanging="357"/>
        <w:contextualSpacing w:val="0"/>
        <w:rPr>
          <w:rFonts w:ascii="Times New Roman" w:hAnsi="Times New Roman"/>
        </w:rPr>
      </w:pPr>
      <w:r>
        <w:rPr>
          <w:rFonts w:ascii="Times New Roman" w:hAnsi="Times New Roman"/>
        </w:rPr>
        <w:t>h</w:t>
      </w:r>
      <w:r w:rsidR="00A52A5B" w:rsidRPr="00A52A5B">
        <w:rPr>
          <w:rFonts w:ascii="Times New Roman" w:hAnsi="Times New Roman"/>
        </w:rPr>
        <w:t>arness</w:t>
      </w:r>
      <w:r>
        <w:rPr>
          <w:rFonts w:ascii="Times New Roman" w:hAnsi="Times New Roman"/>
        </w:rPr>
        <w:t xml:space="preserve"> </w:t>
      </w:r>
      <w:r w:rsidR="00A52A5B" w:rsidRPr="00A52A5B">
        <w:rPr>
          <w:rFonts w:ascii="Times New Roman" w:hAnsi="Times New Roman"/>
        </w:rPr>
        <w:t xml:space="preserve">existing </w:t>
      </w:r>
      <w:r w:rsidR="004F67B0">
        <w:rPr>
          <w:rFonts w:ascii="Times New Roman" w:hAnsi="Times New Roman"/>
        </w:rPr>
        <w:t xml:space="preserve">children and family </w:t>
      </w:r>
      <w:r w:rsidR="00A52A5B" w:rsidRPr="00A52A5B">
        <w:rPr>
          <w:rFonts w:ascii="Times New Roman" w:hAnsi="Times New Roman"/>
        </w:rPr>
        <w:t>data to develop and share community snapshots</w:t>
      </w:r>
    </w:p>
    <w:p w14:paraId="28D7E1FE" w14:textId="3BD9BA37" w:rsidR="00A24DCE" w:rsidRDefault="00A52A5B" w:rsidP="008972CB">
      <w:pPr>
        <w:pStyle w:val="ListParagraph"/>
        <w:keepLines/>
        <w:numPr>
          <w:ilvl w:val="1"/>
          <w:numId w:val="2"/>
        </w:numPr>
        <w:spacing w:before="0" w:after="0" w:line="240" w:lineRule="auto"/>
        <w:ind w:left="992" w:hanging="357"/>
        <w:contextualSpacing w:val="0"/>
        <w:rPr>
          <w:rFonts w:ascii="Times New Roman" w:hAnsi="Times New Roman"/>
        </w:rPr>
      </w:pPr>
      <w:r w:rsidRPr="00A52A5B">
        <w:rPr>
          <w:rFonts w:ascii="Times New Roman" w:hAnsi="Times New Roman"/>
        </w:rPr>
        <w:t>develop a public list of children and family services available in each community</w:t>
      </w:r>
    </w:p>
    <w:p w14:paraId="59457F1B" w14:textId="149155D1" w:rsidR="00EC0CC0" w:rsidRPr="00E57F7C" w:rsidRDefault="00A52A5B" w:rsidP="008972CB">
      <w:pPr>
        <w:pStyle w:val="ListParagraph"/>
        <w:keepLines/>
        <w:numPr>
          <w:ilvl w:val="1"/>
          <w:numId w:val="2"/>
        </w:numPr>
        <w:spacing w:before="0" w:after="0" w:line="240" w:lineRule="auto"/>
        <w:ind w:left="992" w:hanging="357"/>
        <w:contextualSpacing w:val="0"/>
        <w:rPr>
          <w:rFonts w:ascii="Times New Roman" w:hAnsi="Times New Roman"/>
        </w:rPr>
      </w:pPr>
      <w:proofErr w:type="gramStart"/>
      <w:r>
        <w:rPr>
          <w:rFonts w:ascii="Times New Roman" w:hAnsi="Times New Roman"/>
        </w:rPr>
        <w:t>a</w:t>
      </w:r>
      <w:r w:rsidRPr="00A52A5B">
        <w:rPr>
          <w:rFonts w:ascii="Times New Roman" w:hAnsi="Times New Roman"/>
        </w:rPr>
        <w:t>dopt</w:t>
      </w:r>
      <w:proofErr w:type="gramEnd"/>
      <w:r w:rsidRPr="00A52A5B">
        <w:rPr>
          <w:rFonts w:ascii="Times New Roman" w:hAnsi="Times New Roman"/>
        </w:rPr>
        <w:t xml:space="preserve"> a continuous improvement approach to monitoring and evaluation</w:t>
      </w:r>
      <w:r>
        <w:rPr>
          <w:rFonts w:ascii="Times New Roman" w:hAnsi="Times New Roman"/>
        </w:rPr>
        <w:t xml:space="preserve"> of services</w:t>
      </w:r>
      <w:r w:rsidR="001B4277">
        <w:rPr>
          <w:rFonts w:ascii="Times New Roman" w:hAnsi="Times New Roman"/>
        </w:rPr>
        <w:t>, including supporting more active participation of communities</w:t>
      </w:r>
      <w:r>
        <w:rPr>
          <w:rFonts w:ascii="Times New Roman" w:hAnsi="Times New Roman"/>
        </w:rPr>
        <w:t>.</w:t>
      </w:r>
    </w:p>
    <w:p w14:paraId="1E2F6537" w14:textId="73649CBD" w:rsidR="000B45E3" w:rsidRPr="00E57F7C" w:rsidRDefault="00EC0CC0" w:rsidP="0087768B">
      <w:pPr>
        <w:pStyle w:val="ListParagraph"/>
        <w:keepLines/>
        <w:numPr>
          <w:ilvl w:val="0"/>
          <w:numId w:val="2"/>
        </w:numPr>
        <w:spacing w:after="0" w:line="240" w:lineRule="auto"/>
        <w:ind w:left="567" w:hanging="567"/>
        <w:contextualSpacing w:val="0"/>
        <w:rPr>
          <w:rFonts w:ascii="Times New Roman" w:hAnsi="Times New Roman"/>
          <w:bCs/>
        </w:rPr>
      </w:pPr>
      <w:r w:rsidRPr="00A56BCA">
        <w:rPr>
          <w:rFonts w:ascii="Times New Roman" w:hAnsi="Times New Roman"/>
          <w:bCs/>
        </w:rPr>
        <w:t xml:space="preserve">The Australian Government </w:t>
      </w:r>
      <w:r w:rsidR="008C2E84" w:rsidRPr="00A56BCA">
        <w:rPr>
          <w:rFonts w:ascii="Times New Roman" w:hAnsi="Times New Roman"/>
          <w:bCs/>
        </w:rPr>
        <w:t xml:space="preserve">recognises the value of </w:t>
      </w:r>
      <w:r w:rsidR="000B45E3">
        <w:rPr>
          <w:rFonts w:ascii="Times New Roman" w:hAnsi="Times New Roman"/>
          <w:bCs/>
        </w:rPr>
        <w:t>high-</w:t>
      </w:r>
      <w:r w:rsidR="008C2E84" w:rsidRPr="00A56BCA">
        <w:rPr>
          <w:rFonts w:ascii="Times New Roman" w:hAnsi="Times New Roman"/>
          <w:bCs/>
        </w:rPr>
        <w:t xml:space="preserve">quality data to </w:t>
      </w:r>
      <w:r w:rsidRPr="00A56BCA">
        <w:rPr>
          <w:rFonts w:ascii="Times New Roman" w:hAnsi="Times New Roman"/>
          <w:bCs/>
        </w:rPr>
        <w:t xml:space="preserve">inform </w:t>
      </w:r>
      <w:r w:rsidR="00A368AD" w:rsidRPr="00A56BCA">
        <w:rPr>
          <w:rFonts w:ascii="Times New Roman" w:hAnsi="Times New Roman"/>
          <w:bCs/>
        </w:rPr>
        <w:t xml:space="preserve">planning </w:t>
      </w:r>
      <w:r w:rsidR="00712ACD" w:rsidRPr="00A56BCA">
        <w:rPr>
          <w:rFonts w:ascii="Times New Roman" w:hAnsi="Times New Roman"/>
          <w:bCs/>
        </w:rPr>
        <w:t xml:space="preserve">of </w:t>
      </w:r>
      <w:r w:rsidRPr="00A56BCA">
        <w:rPr>
          <w:rFonts w:ascii="Times New Roman" w:hAnsi="Times New Roman"/>
          <w:bCs/>
        </w:rPr>
        <w:t xml:space="preserve">policy, programs and services. </w:t>
      </w:r>
      <w:r w:rsidR="00A56BCA">
        <w:rPr>
          <w:rFonts w:ascii="Times New Roman" w:hAnsi="Times New Roman"/>
          <w:bCs/>
        </w:rPr>
        <w:t xml:space="preserve">This is why </w:t>
      </w:r>
      <w:r w:rsidR="00800856" w:rsidRPr="00A56BCA">
        <w:rPr>
          <w:rFonts w:ascii="Times New Roman" w:hAnsi="Times New Roman"/>
          <w:bCs/>
        </w:rPr>
        <w:t xml:space="preserve">we are </w:t>
      </w:r>
      <w:r w:rsidRPr="00A56BCA">
        <w:rPr>
          <w:rFonts w:ascii="Times New Roman" w:hAnsi="Times New Roman"/>
          <w:bCs/>
        </w:rPr>
        <w:t>undert</w:t>
      </w:r>
      <w:r w:rsidR="008C2E84" w:rsidRPr="00A56BCA">
        <w:rPr>
          <w:rFonts w:ascii="Times New Roman" w:hAnsi="Times New Roman"/>
          <w:bCs/>
        </w:rPr>
        <w:t>aking initiatives to improve</w:t>
      </w:r>
      <w:r w:rsidRPr="00A56BCA">
        <w:rPr>
          <w:rFonts w:ascii="Times New Roman" w:hAnsi="Times New Roman"/>
          <w:bCs/>
        </w:rPr>
        <w:t xml:space="preserve"> </w:t>
      </w:r>
      <w:r w:rsidR="00A368AD" w:rsidRPr="00A56BCA">
        <w:rPr>
          <w:rFonts w:ascii="Times New Roman" w:hAnsi="Times New Roman"/>
          <w:bCs/>
        </w:rPr>
        <w:t xml:space="preserve">how we collect, capture and share </w:t>
      </w:r>
      <w:r w:rsidRPr="00A56BCA">
        <w:rPr>
          <w:rFonts w:ascii="Times New Roman" w:hAnsi="Times New Roman"/>
          <w:bCs/>
        </w:rPr>
        <w:t xml:space="preserve">data on </w:t>
      </w:r>
      <w:r w:rsidR="008C2E84" w:rsidRPr="00A56BCA">
        <w:rPr>
          <w:rFonts w:ascii="Times New Roman" w:hAnsi="Times New Roman"/>
          <w:bCs/>
        </w:rPr>
        <w:t>services</w:t>
      </w:r>
      <w:r w:rsidRPr="00A56BCA">
        <w:rPr>
          <w:rFonts w:ascii="Times New Roman" w:hAnsi="Times New Roman"/>
          <w:bCs/>
        </w:rPr>
        <w:t xml:space="preserve"> in the Northern Territory</w:t>
      </w:r>
      <w:r w:rsidR="000B45E3">
        <w:rPr>
          <w:rFonts w:ascii="Times New Roman" w:hAnsi="Times New Roman"/>
          <w:bCs/>
        </w:rPr>
        <w:t xml:space="preserve"> through the Data Exchange, </w:t>
      </w:r>
      <w:r w:rsidRPr="000B45E3">
        <w:rPr>
          <w:rFonts w:ascii="Times New Roman" w:hAnsi="Times New Roman"/>
          <w:bCs/>
        </w:rPr>
        <w:t xml:space="preserve">a </w:t>
      </w:r>
      <w:r w:rsidR="008C2E84" w:rsidRPr="000B45E3">
        <w:rPr>
          <w:rFonts w:ascii="Times New Roman" w:hAnsi="Times New Roman"/>
          <w:bCs/>
        </w:rPr>
        <w:t>two-way partnership of information sharing between funding agencies and organisations, enabling smarter and more efficient ways of improving service delivery</w:t>
      </w:r>
      <w:r w:rsidR="000B45E3" w:rsidRPr="000B45E3">
        <w:rPr>
          <w:rFonts w:ascii="Times New Roman" w:hAnsi="Times New Roman"/>
          <w:bCs/>
        </w:rPr>
        <w:t>.</w:t>
      </w:r>
    </w:p>
    <w:p w14:paraId="3D729615" w14:textId="77777777" w:rsidR="00D93954" w:rsidRPr="00E57F7C" w:rsidRDefault="00D93954" w:rsidP="00D93954">
      <w:pPr>
        <w:pStyle w:val="ListParagraph"/>
        <w:keepLines/>
        <w:numPr>
          <w:ilvl w:val="0"/>
          <w:numId w:val="2"/>
        </w:numPr>
        <w:spacing w:after="0" w:line="240" w:lineRule="auto"/>
        <w:ind w:left="567" w:hanging="567"/>
        <w:contextualSpacing w:val="0"/>
        <w:rPr>
          <w:rFonts w:ascii="Times New Roman" w:hAnsi="Times New Roman"/>
        </w:rPr>
      </w:pPr>
      <w:r>
        <w:rPr>
          <w:rFonts w:ascii="Times New Roman" w:hAnsi="Times New Roman"/>
        </w:rPr>
        <w:t xml:space="preserve">The Australian Government recognises that accountability and access to the data being interpreted is another critical consideration to drive transparency. An example of the Australian Government’s commitment to this can be seen through the National Agreement on Closing the Gap. </w:t>
      </w:r>
      <w:r w:rsidRPr="004235CB">
        <w:rPr>
          <w:rFonts w:ascii="Times New Roman" w:hAnsi="Times New Roman"/>
        </w:rPr>
        <w:t>One of the four key priority reforms t</w:t>
      </w:r>
      <w:r>
        <w:rPr>
          <w:rFonts w:ascii="Times New Roman" w:hAnsi="Times New Roman"/>
        </w:rPr>
        <w:t>he National Agreement is centred</w:t>
      </w:r>
      <w:r w:rsidRPr="004235CB">
        <w:rPr>
          <w:rFonts w:ascii="Times New Roman" w:hAnsi="Times New Roman"/>
        </w:rPr>
        <w:t xml:space="preserve"> around</w:t>
      </w:r>
      <w:r>
        <w:rPr>
          <w:rFonts w:ascii="Times New Roman" w:hAnsi="Times New Roman"/>
        </w:rPr>
        <w:t xml:space="preserve"> is ‘b</w:t>
      </w:r>
      <w:r w:rsidRPr="004235CB">
        <w:rPr>
          <w:rFonts w:ascii="Times New Roman" w:hAnsi="Times New Roman"/>
        </w:rPr>
        <w:t>uilding better data and sharing access to the right data to support Indigenous communities to make informed decisions with us</w:t>
      </w:r>
      <w:r>
        <w:rPr>
          <w:rFonts w:ascii="Times New Roman" w:hAnsi="Times New Roman"/>
        </w:rPr>
        <w:t>.’</w:t>
      </w:r>
    </w:p>
    <w:p w14:paraId="1B4AA89A" w14:textId="7FB36510" w:rsidR="00A56BCA" w:rsidRPr="006E5664" w:rsidRDefault="000B45E3" w:rsidP="0087768B">
      <w:pPr>
        <w:pStyle w:val="ListParagraph"/>
        <w:keepLines/>
        <w:numPr>
          <w:ilvl w:val="0"/>
          <w:numId w:val="2"/>
        </w:numPr>
        <w:spacing w:after="0" w:line="240" w:lineRule="auto"/>
        <w:ind w:left="567" w:hanging="567"/>
        <w:contextualSpacing w:val="0"/>
        <w:rPr>
          <w:rFonts w:ascii="Times New Roman" w:hAnsi="Times New Roman"/>
        </w:rPr>
      </w:pPr>
      <w:r>
        <w:rPr>
          <w:rFonts w:ascii="Times New Roman" w:hAnsi="Times New Roman"/>
        </w:rPr>
        <w:t xml:space="preserve">The Australian Government </w:t>
      </w:r>
      <w:r w:rsidR="00E75151">
        <w:rPr>
          <w:rFonts w:ascii="Times New Roman" w:hAnsi="Times New Roman"/>
        </w:rPr>
        <w:t>supports the suggestion of using</w:t>
      </w:r>
      <w:r w:rsidR="0099164D" w:rsidRPr="0099164D">
        <w:rPr>
          <w:rFonts w:ascii="Times New Roman" w:hAnsi="Times New Roman"/>
        </w:rPr>
        <w:t xml:space="preserve"> existing reporting</w:t>
      </w:r>
      <w:r w:rsidR="0099164D">
        <w:rPr>
          <w:rFonts w:ascii="Times New Roman" w:hAnsi="Times New Roman"/>
        </w:rPr>
        <w:t xml:space="preserve"> methods and measures</w:t>
      </w:r>
      <w:r w:rsidR="0099164D" w:rsidRPr="0099164D">
        <w:rPr>
          <w:rFonts w:ascii="Times New Roman" w:hAnsi="Times New Roman"/>
        </w:rPr>
        <w:t>, such as</w:t>
      </w:r>
      <w:r w:rsidR="00A56BCA" w:rsidRPr="0099164D">
        <w:rPr>
          <w:rFonts w:ascii="Times New Roman" w:hAnsi="Times New Roman"/>
          <w:bCs/>
        </w:rPr>
        <w:t xml:space="preserve"> using geographical units set by the Australian Bureau of Statistics</w:t>
      </w:r>
      <w:r w:rsidR="0099164D" w:rsidRPr="0099164D">
        <w:rPr>
          <w:rFonts w:ascii="Times New Roman" w:hAnsi="Times New Roman"/>
          <w:bCs/>
        </w:rPr>
        <w:t xml:space="preserve">, in order to </w:t>
      </w:r>
      <w:r w:rsidR="00A56BCA" w:rsidRPr="0099164D">
        <w:rPr>
          <w:rFonts w:ascii="Times New Roman" w:hAnsi="Times New Roman"/>
          <w:bCs/>
        </w:rPr>
        <w:t>establish</w:t>
      </w:r>
      <w:r w:rsidR="0099164D" w:rsidRPr="0099164D">
        <w:rPr>
          <w:rFonts w:ascii="Times New Roman" w:hAnsi="Times New Roman"/>
          <w:bCs/>
        </w:rPr>
        <w:t xml:space="preserve"> and maintain </w:t>
      </w:r>
      <w:r w:rsidR="00A56BCA" w:rsidRPr="0099164D">
        <w:rPr>
          <w:rFonts w:ascii="Times New Roman" w:hAnsi="Times New Roman"/>
          <w:bCs/>
        </w:rPr>
        <w:t xml:space="preserve">consistent reporting and categorisation across </w:t>
      </w:r>
      <w:r w:rsidR="0099164D">
        <w:rPr>
          <w:rFonts w:ascii="Times New Roman" w:hAnsi="Times New Roman"/>
          <w:bCs/>
        </w:rPr>
        <w:t xml:space="preserve">Australian </w:t>
      </w:r>
      <w:r w:rsidR="00A56BCA" w:rsidRPr="0099164D">
        <w:rPr>
          <w:rFonts w:ascii="Times New Roman" w:hAnsi="Times New Roman"/>
          <w:bCs/>
        </w:rPr>
        <w:t>governments and agencies</w:t>
      </w:r>
      <w:r w:rsidR="0099164D" w:rsidRPr="0099164D">
        <w:rPr>
          <w:rFonts w:ascii="Times New Roman" w:hAnsi="Times New Roman"/>
          <w:bCs/>
        </w:rPr>
        <w:t>. This is key in comparing</w:t>
      </w:r>
      <w:r w:rsidR="00A56BCA" w:rsidRPr="0099164D">
        <w:rPr>
          <w:rFonts w:ascii="Times New Roman" w:hAnsi="Times New Roman"/>
          <w:bCs/>
        </w:rPr>
        <w:t>, contrast</w:t>
      </w:r>
      <w:r w:rsidR="0099164D" w:rsidRPr="0099164D">
        <w:rPr>
          <w:rFonts w:ascii="Times New Roman" w:hAnsi="Times New Roman"/>
          <w:bCs/>
        </w:rPr>
        <w:t>ing</w:t>
      </w:r>
      <w:r w:rsidR="00A56BCA" w:rsidRPr="0099164D">
        <w:rPr>
          <w:rFonts w:ascii="Times New Roman" w:hAnsi="Times New Roman"/>
          <w:bCs/>
        </w:rPr>
        <w:t xml:space="preserve"> and learn</w:t>
      </w:r>
      <w:r w:rsidR="0099164D" w:rsidRPr="0099164D">
        <w:rPr>
          <w:rFonts w:ascii="Times New Roman" w:hAnsi="Times New Roman"/>
          <w:bCs/>
        </w:rPr>
        <w:t>ing</w:t>
      </w:r>
      <w:r w:rsidR="00A56BCA" w:rsidRPr="0099164D">
        <w:rPr>
          <w:rFonts w:ascii="Times New Roman" w:hAnsi="Times New Roman"/>
          <w:bCs/>
        </w:rPr>
        <w:t xml:space="preserve"> from data across time and location</w:t>
      </w:r>
      <w:r w:rsidR="0099164D">
        <w:rPr>
          <w:rFonts w:ascii="Times New Roman" w:hAnsi="Times New Roman"/>
          <w:bCs/>
        </w:rPr>
        <w:t>, not just in the Northern Territory</w:t>
      </w:r>
      <w:r w:rsidR="00A56BCA" w:rsidRPr="0099164D">
        <w:rPr>
          <w:rFonts w:ascii="Times New Roman" w:hAnsi="Times New Roman"/>
          <w:bCs/>
        </w:rPr>
        <w:t>.</w:t>
      </w:r>
      <w:r w:rsidR="009E75BE">
        <w:rPr>
          <w:rFonts w:ascii="Times New Roman" w:hAnsi="Times New Roman"/>
          <w:bCs/>
        </w:rPr>
        <w:t xml:space="preserve"> </w:t>
      </w:r>
      <w:r w:rsidR="0070246B" w:rsidRPr="009E75BE">
        <w:rPr>
          <w:rFonts w:ascii="Times New Roman" w:hAnsi="Times New Roman"/>
          <w:bCs/>
        </w:rPr>
        <w:t xml:space="preserve">There are </w:t>
      </w:r>
      <w:r w:rsidR="00D70E5C" w:rsidRPr="009E75BE">
        <w:rPr>
          <w:rFonts w:ascii="Times New Roman" w:hAnsi="Times New Roman"/>
          <w:bCs/>
        </w:rPr>
        <w:t xml:space="preserve">also </w:t>
      </w:r>
      <w:r w:rsidR="0070246B" w:rsidRPr="009E75BE">
        <w:rPr>
          <w:rFonts w:ascii="Times New Roman" w:hAnsi="Times New Roman"/>
          <w:bCs/>
        </w:rPr>
        <w:t xml:space="preserve">several </w:t>
      </w:r>
      <w:r w:rsidR="008C2E84" w:rsidRPr="009E75BE">
        <w:rPr>
          <w:rFonts w:ascii="Times New Roman" w:hAnsi="Times New Roman"/>
          <w:bCs/>
        </w:rPr>
        <w:t xml:space="preserve">Australian Government </w:t>
      </w:r>
      <w:r w:rsidR="0070246B" w:rsidRPr="009E75BE">
        <w:rPr>
          <w:rFonts w:ascii="Times New Roman" w:hAnsi="Times New Roman"/>
          <w:bCs/>
        </w:rPr>
        <w:t>initiatives</w:t>
      </w:r>
      <w:r w:rsidR="0099164D" w:rsidRPr="009E75BE">
        <w:rPr>
          <w:rFonts w:ascii="Times New Roman" w:hAnsi="Times New Roman"/>
          <w:bCs/>
        </w:rPr>
        <w:t xml:space="preserve"> underway</w:t>
      </w:r>
      <w:r w:rsidR="0070246B" w:rsidRPr="009E75BE">
        <w:rPr>
          <w:rFonts w:ascii="Times New Roman" w:hAnsi="Times New Roman"/>
          <w:bCs/>
        </w:rPr>
        <w:t xml:space="preserve"> to streamlin</w:t>
      </w:r>
      <w:r w:rsidR="0099164D" w:rsidRPr="009E75BE">
        <w:rPr>
          <w:rFonts w:ascii="Times New Roman" w:hAnsi="Times New Roman"/>
          <w:bCs/>
        </w:rPr>
        <w:t>e</w:t>
      </w:r>
      <w:r w:rsidR="0070246B" w:rsidRPr="009E75BE">
        <w:rPr>
          <w:rFonts w:ascii="Times New Roman" w:hAnsi="Times New Roman"/>
          <w:bCs/>
        </w:rPr>
        <w:t xml:space="preserve"> program reporting. For example, </w:t>
      </w:r>
      <w:r w:rsidR="00307F30">
        <w:rPr>
          <w:rFonts w:ascii="Times New Roman" w:hAnsi="Times New Roman"/>
          <w:bCs/>
        </w:rPr>
        <w:t xml:space="preserve">the </w:t>
      </w:r>
      <w:r w:rsidR="0070246B" w:rsidRPr="009E75BE">
        <w:rPr>
          <w:rFonts w:ascii="Times New Roman" w:hAnsi="Times New Roman"/>
          <w:bCs/>
        </w:rPr>
        <w:t xml:space="preserve">NIAA has </w:t>
      </w:r>
      <w:r w:rsidR="009E75BE">
        <w:rPr>
          <w:rFonts w:ascii="Times New Roman" w:hAnsi="Times New Roman"/>
          <w:bCs/>
        </w:rPr>
        <w:t>reduced</w:t>
      </w:r>
      <w:r w:rsidR="0070246B" w:rsidRPr="009E75BE">
        <w:rPr>
          <w:rFonts w:ascii="Times New Roman" w:hAnsi="Times New Roman"/>
          <w:bCs/>
        </w:rPr>
        <w:t xml:space="preserve"> the frequency of performance reporting for lower risk grants. </w:t>
      </w:r>
    </w:p>
    <w:p w14:paraId="2E3766C6" w14:textId="39735D82" w:rsidR="00A56BCA" w:rsidRPr="003F7A2D" w:rsidRDefault="005D0BFC" w:rsidP="0087768B">
      <w:pPr>
        <w:pStyle w:val="ListParagraph"/>
        <w:keepLines/>
        <w:numPr>
          <w:ilvl w:val="0"/>
          <w:numId w:val="2"/>
        </w:numPr>
        <w:spacing w:after="0" w:line="240" w:lineRule="auto"/>
        <w:ind w:left="567" w:hanging="567"/>
        <w:contextualSpacing w:val="0"/>
        <w:rPr>
          <w:rFonts w:ascii="Times New Roman" w:hAnsi="Times New Roman"/>
          <w:bCs/>
        </w:rPr>
      </w:pPr>
      <w:r>
        <w:rPr>
          <w:rFonts w:ascii="Times New Roman" w:hAnsi="Times New Roman"/>
          <w:bCs/>
        </w:rPr>
        <w:t>T</w:t>
      </w:r>
      <w:r w:rsidR="003F7A2D">
        <w:rPr>
          <w:rFonts w:ascii="Times New Roman" w:hAnsi="Times New Roman"/>
          <w:bCs/>
        </w:rPr>
        <w:t xml:space="preserve">he </w:t>
      </w:r>
      <w:r w:rsidR="00AD40C4">
        <w:rPr>
          <w:rFonts w:ascii="Times New Roman" w:hAnsi="Times New Roman"/>
          <w:bCs/>
        </w:rPr>
        <w:t xml:space="preserve">NIAA’s IAS </w:t>
      </w:r>
      <w:r w:rsidR="00A56BCA">
        <w:rPr>
          <w:rFonts w:ascii="Times New Roman" w:hAnsi="Times New Roman"/>
          <w:bCs/>
        </w:rPr>
        <w:t>Evaluation Framework</w:t>
      </w:r>
      <w:r w:rsidR="003F7A2D">
        <w:rPr>
          <w:rFonts w:ascii="Times New Roman" w:hAnsi="Times New Roman"/>
          <w:bCs/>
        </w:rPr>
        <w:t xml:space="preserve"> </w:t>
      </w:r>
      <w:r w:rsidR="00A56BCA">
        <w:rPr>
          <w:rFonts w:ascii="Times New Roman" w:hAnsi="Times New Roman"/>
          <w:bCs/>
        </w:rPr>
        <w:t xml:space="preserve">is </w:t>
      </w:r>
      <w:r w:rsidR="009E75BE">
        <w:rPr>
          <w:rFonts w:ascii="Times New Roman" w:hAnsi="Times New Roman"/>
          <w:bCs/>
        </w:rPr>
        <w:t xml:space="preserve">also </w:t>
      </w:r>
      <w:r w:rsidR="00AA1D21">
        <w:rPr>
          <w:rFonts w:ascii="Times New Roman" w:hAnsi="Times New Roman"/>
          <w:bCs/>
        </w:rPr>
        <w:t xml:space="preserve">a </w:t>
      </w:r>
      <w:r w:rsidR="00A56BCA">
        <w:rPr>
          <w:rFonts w:ascii="Times New Roman" w:hAnsi="Times New Roman"/>
          <w:bCs/>
        </w:rPr>
        <w:t xml:space="preserve">notable example of how the Australian Government is taking a </w:t>
      </w:r>
      <w:r w:rsidR="00A56BCA" w:rsidRPr="00A368AD">
        <w:rPr>
          <w:rFonts w:ascii="Times New Roman" w:hAnsi="Times New Roman"/>
          <w:bCs/>
        </w:rPr>
        <w:t>continuous improvement approach</w:t>
      </w:r>
      <w:r w:rsidR="00A56BCA">
        <w:rPr>
          <w:rFonts w:ascii="Times New Roman" w:hAnsi="Times New Roman"/>
          <w:bCs/>
        </w:rPr>
        <w:t xml:space="preserve"> to evaluation</w:t>
      </w:r>
      <w:r w:rsidR="009E75BE">
        <w:rPr>
          <w:rFonts w:ascii="Times New Roman" w:hAnsi="Times New Roman"/>
          <w:bCs/>
        </w:rPr>
        <w:t xml:space="preserve">, and </w:t>
      </w:r>
      <w:r w:rsidR="003F7A2D">
        <w:rPr>
          <w:rFonts w:ascii="Times New Roman" w:hAnsi="Times New Roman"/>
          <w:bCs/>
        </w:rPr>
        <w:t>is</w:t>
      </w:r>
      <w:r w:rsidR="00A56BCA" w:rsidRPr="003F7A2D">
        <w:rPr>
          <w:rFonts w:ascii="Times New Roman" w:hAnsi="Times New Roman"/>
          <w:bCs/>
        </w:rPr>
        <w:t xml:space="preserve"> designed to ensure evaluations are high quality, ethical, inclusive and focused on improving outcomes for Indigenous Australians.</w:t>
      </w:r>
    </w:p>
    <w:p w14:paraId="1044FF7A" w14:textId="1DCDD175" w:rsidR="00F56AED" w:rsidRDefault="00F56AED" w:rsidP="00E57F7C">
      <w:pPr>
        <w:pStyle w:val="Heading3"/>
        <w:keepLines/>
        <w:spacing w:before="240" w:line="240" w:lineRule="auto"/>
        <w:rPr>
          <w:rFonts w:ascii="Times New Roman" w:hAnsi="Times New Roman" w:cs="Times New Roman"/>
          <w:color w:val="004253" w:themeColor="accent1" w:themeShade="BF"/>
        </w:rPr>
      </w:pPr>
      <w:bookmarkStart w:id="16" w:name="_Toc45800460"/>
      <w:r w:rsidRPr="008458BE">
        <w:rPr>
          <w:rFonts w:ascii="Times New Roman" w:hAnsi="Times New Roman" w:cs="Times New Roman"/>
          <w:b/>
          <w:color w:val="004253" w:themeColor="accent1" w:themeShade="BF"/>
        </w:rPr>
        <w:t>Reform Area 4:</w:t>
      </w:r>
      <w:r w:rsidRPr="008458BE">
        <w:rPr>
          <w:rFonts w:ascii="Times New Roman" w:hAnsi="Times New Roman" w:cs="Times New Roman"/>
          <w:color w:val="004253" w:themeColor="accent1" w:themeShade="BF"/>
        </w:rPr>
        <w:t xml:space="preserve"> </w:t>
      </w:r>
      <w:r w:rsidR="000F423F" w:rsidRPr="001B4277">
        <w:rPr>
          <w:rFonts w:ascii="Times New Roman" w:hAnsi="Times New Roman" w:cs="Times New Roman"/>
          <w:color w:val="004253" w:themeColor="accent1" w:themeShade="BF"/>
        </w:rPr>
        <w:t>Stronger supporting institutions</w:t>
      </w:r>
      <w:bookmarkEnd w:id="16"/>
      <w:r w:rsidR="002C0323">
        <w:rPr>
          <w:rStyle w:val="FootnoteReference"/>
          <w:rFonts w:ascii="Times New Roman" w:hAnsi="Times New Roman" w:cs="Times New Roman"/>
          <w:color w:val="004253" w:themeColor="accent1" w:themeShade="BF"/>
        </w:rPr>
        <w:footnoteReference w:id="7"/>
      </w:r>
    </w:p>
    <w:p w14:paraId="098A8257" w14:textId="0AFB6E25" w:rsidR="004D4FA1" w:rsidRPr="008972CB" w:rsidRDefault="00727F02" w:rsidP="008972CB">
      <w:pPr>
        <w:pStyle w:val="ListParagraph"/>
        <w:keepLines/>
        <w:numPr>
          <w:ilvl w:val="0"/>
          <w:numId w:val="2"/>
        </w:numPr>
        <w:spacing w:after="0" w:line="240" w:lineRule="auto"/>
        <w:ind w:left="567" w:hanging="567"/>
        <w:contextualSpacing w:val="0"/>
        <w:rPr>
          <w:rFonts w:ascii="Times New Roman" w:hAnsi="Times New Roman"/>
        </w:rPr>
      </w:pPr>
      <w:r w:rsidRPr="004D4FA1">
        <w:rPr>
          <w:rFonts w:ascii="Times New Roman" w:hAnsi="Times New Roman"/>
        </w:rPr>
        <w:t xml:space="preserve">In their last reform area, </w:t>
      </w:r>
      <w:r w:rsidR="007D71DF" w:rsidRPr="004D4FA1">
        <w:rPr>
          <w:rFonts w:ascii="Times New Roman" w:hAnsi="Times New Roman"/>
        </w:rPr>
        <w:t xml:space="preserve">the </w:t>
      </w:r>
      <w:r w:rsidR="00502AE3" w:rsidRPr="004D4FA1">
        <w:rPr>
          <w:rFonts w:ascii="Times New Roman" w:hAnsi="Times New Roman"/>
        </w:rPr>
        <w:t xml:space="preserve">PC </w:t>
      </w:r>
      <w:r w:rsidR="00E75151">
        <w:rPr>
          <w:rFonts w:ascii="Times New Roman" w:hAnsi="Times New Roman"/>
        </w:rPr>
        <w:t xml:space="preserve">expressed a view </w:t>
      </w:r>
      <w:r w:rsidR="00502AE3" w:rsidRPr="004D4FA1">
        <w:rPr>
          <w:rFonts w:ascii="Times New Roman" w:hAnsi="Times New Roman"/>
        </w:rPr>
        <w:t>that</w:t>
      </w:r>
      <w:r w:rsidR="000C138D">
        <w:rPr>
          <w:rFonts w:ascii="Times New Roman" w:hAnsi="Times New Roman"/>
        </w:rPr>
        <w:t xml:space="preserve"> </w:t>
      </w:r>
      <w:r w:rsidR="00E47399">
        <w:rPr>
          <w:rFonts w:ascii="Times New Roman" w:hAnsi="Times New Roman"/>
        </w:rPr>
        <w:t>institutions will</w:t>
      </w:r>
      <w:r w:rsidRPr="004D4FA1">
        <w:rPr>
          <w:rFonts w:ascii="Times New Roman" w:hAnsi="Times New Roman"/>
        </w:rPr>
        <w:t xml:space="preserve"> need</w:t>
      </w:r>
      <w:r w:rsidR="000C138D">
        <w:rPr>
          <w:rFonts w:ascii="Times New Roman" w:hAnsi="Times New Roman"/>
        </w:rPr>
        <w:t xml:space="preserve"> to be strengthen</w:t>
      </w:r>
      <w:r w:rsidR="00AA1D21">
        <w:rPr>
          <w:rFonts w:ascii="Times New Roman" w:hAnsi="Times New Roman"/>
        </w:rPr>
        <w:t>ed</w:t>
      </w:r>
      <w:r w:rsidR="000C138D">
        <w:rPr>
          <w:rFonts w:ascii="Times New Roman" w:hAnsi="Times New Roman"/>
        </w:rPr>
        <w:t xml:space="preserve"> in order to support</w:t>
      </w:r>
      <w:r w:rsidR="004D4FA1">
        <w:rPr>
          <w:rFonts w:ascii="Times New Roman" w:hAnsi="Times New Roman"/>
        </w:rPr>
        <w:t xml:space="preserve"> implementation of </w:t>
      </w:r>
      <w:r w:rsidR="007E71B9">
        <w:rPr>
          <w:rFonts w:ascii="Times New Roman" w:hAnsi="Times New Roman"/>
        </w:rPr>
        <w:t xml:space="preserve">the </w:t>
      </w:r>
      <w:r w:rsidRPr="004D4FA1">
        <w:rPr>
          <w:rFonts w:ascii="Times New Roman" w:hAnsi="Times New Roman"/>
        </w:rPr>
        <w:t>reforms</w:t>
      </w:r>
      <w:r w:rsidR="004D4FA1">
        <w:rPr>
          <w:rFonts w:ascii="Times New Roman" w:hAnsi="Times New Roman"/>
        </w:rPr>
        <w:t xml:space="preserve"> and identified </w:t>
      </w:r>
      <w:r w:rsidR="000C138D">
        <w:rPr>
          <w:rFonts w:ascii="Times New Roman" w:hAnsi="Times New Roman"/>
        </w:rPr>
        <w:t xml:space="preserve">some </w:t>
      </w:r>
      <w:r w:rsidR="004D4FA1">
        <w:rPr>
          <w:rFonts w:ascii="Times New Roman" w:hAnsi="Times New Roman"/>
        </w:rPr>
        <w:t xml:space="preserve">opportunities for growth within </w:t>
      </w:r>
      <w:r w:rsidR="000C138D">
        <w:rPr>
          <w:rFonts w:ascii="Times New Roman" w:hAnsi="Times New Roman"/>
        </w:rPr>
        <w:t>existing</w:t>
      </w:r>
      <w:r w:rsidR="004D4FA1">
        <w:rPr>
          <w:rFonts w:ascii="Times New Roman" w:hAnsi="Times New Roman"/>
        </w:rPr>
        <w:t xml:space="preserve"> </w:t>
      </w:r>
      <w:r w:rsidR="000C138D">
        <w:rPr>
          <w:rFonts w:ascii="Times New Roman" w:hAnsi="Times New Roman"/>
        </w:rPr>
        <w:t xml:space="preserve">government </w:t>
      </w:r>
      <w:r w:rsidR="004D4FA1">
        <w:rPr>
          <w:rFonts w:ascii="Times New Roman" w:hAnsi="Times New Roman"/>
        </w:rPr>
        <w:t>structures.</w:t>
      </w:r>
    </w:p>
    <w:p w14:paraId="047C436F" w14:textId="024A54B7" w:rsidR="004D4FA1" w:rsidRPr="0087768B" w:rsidRDefault="004D4FA1" w:rsidP="00D208EF">
      <w:pPr>
        <w:pStyle w:val="ListParagraph"/>
        <w:keepLines/>
        <w:numPr>
          <w:ilvl w:val="0"/>
          <w:numId w:val="2"/>
        </w:numPr>
        <w:spacing w:after="0" w:line="240" w:lineRule="auto"/>
        <w:ind w:left="567" w:hanging="567"/>
        <w:contextualSpacing w:val="0"/>
        <w:rPr>
          <w:rFonts w:ascii="Times New Roman" w:hAnsi="Times New Roman"/>
        </w:rPr>
      </w:pPr>
      <w:r>
        <w:rPr>
          <w:rFonts w:ascii="Times New Roman" w:hAnsi="Times New Roman"/>
        </w:rPr>
        <w:t xml:space="preserve">The PC recommended </w:t>
      </w:r>
      <w:r w:rsidR="00A24DCE" w:rsidRPr="004D4FA1">
        <w:rPr>
          <w:rFonts w:ascii="Times New Roman" w:hAnsi="Times New Roman"/>
        </w:rPr>
        <w:t xml:space="preserve">governments should support and authorise regional network staff to work with service providers to improve services and with communities to develop regional plans. Further, </w:t>
      </w:r>
      <w:r w:rsidR="00502AE3" w:rsidRPr="004D4FA1">
        <w:rPr>
          <w:rFonts w:ascii="Times New Roman" w:hAnsi="Times New Roman"/>
        </w:rPr>
        <w:t xml:space="preserve">the PC recommended </w:t>
      </w:r>
      <w:r w:rsidR="00A24DCE" w:rsidRPr="004D4FA1">
        <w:rPr>
          <w:rFonts w:ascii="Times New Roman" w:hAnsi="Times New Roman"/>
        </w:rPr>
        <w:t xml:space="preserve">the role of </w:t>
      </w:r>
      <w:r>
        <w:rPr>
          <w:rFonts w:ascii="Times New Roman" w:hAnsi="Times New Roman"/>
        </w:rPr>
        <w:t xml:space="preserve">the </w:t>
      </w:r>
      <w:r w:rsidR="00A24DCE" w:rsidRPr="004D4FA1">
        <w:rPr>
          <w:rFonts w:ascii="Times New Roman" w:hAnsi="Times New Roman"/>
        </w:rPr>
        <w:t xml:space="preserve">Tripartite Forum </w:t>
      </w:r>
      <w:r>
        <w:rPr>
          <w:rFonts w:ascii="Times New Roman" w:hAnsi="Times New Roman"/>
        </w:rPr>
        <w:t xml:space="preserve">should be </w:t>
      </w:r>
      <w:r w:rsidR="000C138D">
        <w:rPr>
          <w:rFonts w:ascii="Times New Roman" w:hAnsi="Times New Roman"/>
        </w:rPr>
        <w:t>expanded</w:t>
      </w:r>
      <w:r>
        <w:rPr>
          <w:rFonts w:ascii="Times New Roman" w:hAnsi="Times New Roman"/>
        </w:rPr>
        <w:t xml:space="preserve"> </w:t>
      </w:r>
      <w:r w:rsidR="00A24DCE" w:rsidRPr="004D4FA1">
        <w:rPr>
          <w:rFonts w:ascii="Times New Roman" w:hAnsi="Times New Roman"/>
        </w:rPr>
        <w:t xml:space="preserve">to provide advice to governments on </w:t>
      </w:r>
      <w:r w:rsidR="009D0B5A">
        <w:rPr>
          <w:rFonts w:ascii="Times New Roman" w:hAnsi="Times New Roman"/>
        </w:rPr>
        <w:t>how funding is allocated</w:t>
      </w:r>
      <w:r w:rsidR="00A24DCE" w:rsidRPr="004D4FA1">
        <w:rPr>
          <w:rFonts w:ascii="Times New Roman" w:hAnsi="Times New Roman"/>
        </w:rPr>
        <w:t>.</w:t>
      </w:r>
    </w:p>
    <w:p w14:paraId="0D5F7E55" w14:textId="7FABEA2C" w:rsidR="009D0B5A" w:rsidRPr="0087768B" w:rsidRDefault="000C138D" w:rsidP="00D208EF">
      <w:pPr>
        <w:pStyle w:val="ListParagraph"/>
        <w:keepLines/>
        <w:numPr>
          <w:ilvl w:val="0"/>
          <w:numId w:val="2"/>
        </w:numPr>
        <w:spacing w:after="0" w:line="240" w:lineRule="auto"/>
        <w:ind w:left="567" w:hanging="567"/>
        <w:contextualSpacing w:val="0"/>
        <w:rPr>
          <w:rFonts w:ascii="Times New Roman" w:hAnsi="Times New Roman"/>
        </w:rPr>
      </w:pPr>
      <w:r w:rsidRPr="009D0B5A">
        <w:rPr>
          <w:rFonts w:ascii="Times New Roman" w:hAnsi="Times New Roman"/>
        </w:rPr>
        <w:t xml:space="preserve">The Australian Government </w:t>
      </w:r>
      <w:r w:rsidR="008C7320" w:rsidRPr="009D0B5A">
        <w:rPr>
          <w:rFonts w:ascii="Times New Roman" w:hAnsi="Times New Roman"/>
        </w:rPr>
        <w:t xml:space="preserve">values the </w:t>
      </w:r>
      <w:r w:rsidR="00E256EF">
        <w:rPr>
          <w:rFonts w:ascii="Times New Roman" w:hAnsi="Times New Roman"/>
        </w:rPr>
        <w:t xml:space="preserve">essential </w:t>
      </w:r>
      <w:r w:rsidR="008C7320" w:rsidRPr="009D0B5A">
        <w:rPr>
          <w:rFonts w:ascii="Times New Roman" w:hAnsi="Times New Roman"/>
        </w:rPr>
        <w:t xml:space="preserve">contribution of communities in regional planning, and </w:t>
      </w:r>
      <w:r w:rsidR="00E75151">
        <w:rPr>
          <w:rFonts w:ascii="Times New Roman" w:hAnsi="Times New Roman"/>
        </w:rPr>
        <w:t xml:space="preserve">supports further consideration of how </w:t>
      </w:r>
      <w:r w:rsidRPr="009D0B5A">
        <w:rPr>
          <w:rFonts w:ascii="Times New Roman" w:hAnsi="Times New Roman"/>
        </w:rPr>
        <w:t xml:space="preserve">regional staff </w:t>
      </w:r>
      <w:r w:rsidR="00E75151">
        <w:rPr>
          <w:rFonts w:ascii="Times New Roman" w:hAnsi="Times New Roman"/>
        </w:rPr>
        <w:t xml:space="preserve">can </w:t>
      </w:r>
      <w:r w:rsidR="00E47399" w:rsidRPr="009D0B5A">
        <w:rPr>
          <w:rFonts w:ascii="Times New Roman" w:hAnsi="Times New Roman"/>
        </w:rPr>
        <w:t>play a central role</w:t>
      </w:r>
      <w:r w:rsidRPr="009D0B5A">
        <w:rPr>
          <w:rFonts w:ascii="Times New Roman" w:hAnsi="Times New Roman"/>
        </w:rPr>
        <w:t xml:space="preserve"> in relational contracting</w:t>
      </w:r>
      <w:r w:rsidR="00363759" w:rsidRPr="009D0B5A">
        <w:rPr>
          <w:rFonts w:ascii="Times New Roman" w:hAnsi="Times New Roman"/>
        </w:rPr>
        <w:t xml:space="preserve"> going forward</w:t>
      </w:r>
      <w:r w:rsidR="00E75151">
        <w:rPr>
          <w:rFonts w:ascii="Times New Roman" w:hAnsi="Times New Roman"/>
        </w:rPr>
        <w:t>. This will occur in the context of broader discussions</w:t>
      </w:r>
      <w:r w:rsidR="001D282F" w:rsidRPr="001D282F">
        <w:rPr>
          <w:rFonts w:ascii="Times New Roman" w:hAnsi="Times New Roman"/>
        </w:rPr>
        <w:t xml:space="preserve"> </w:t>
      </w:r>
      <w:r w:rsidR="001D282F">
        <w:rPr>
          <w:rFonts w:ascii="Times New Roman" w:hAnsi="Times New Roman"/>
        </w:rPr>
        <w:t xml:space="preserve">about how to establish and sustain regional planning processes. </w:t>
      </w:r>
      <w:r w:rsidR="00E75151">
        <w:rPr>
          <w:rFonts w:ascii="Times New Roman" w:hAnsi="Times New Roman"/>
        </w:rPr>
        <w:t xml:space="preserve"> </w:t>
      </w:r>
      <w:r w:rsidR="001D282F">
        <w:rPr>
          <w:rFonts w:ascii="Times New Roman" w:hAnsi="Times New Roman"/>
        </w:rPr>
        <w:t xml:space="preserve">These discussions will take place </w:t>
      </w:r>
      <w:r w:rsidR="00E256EF">
        <w:rPr>
          <w:rFonts w:ascii="Times New Roman" w:hAnsi="Times New Roman"/>
        </w:rPr>
        <w:t>within and between Governments</w:t>
      </w:r>
      <w:r w:rsidR="001D282F">
        <w:rPr>
          <w:rFonts w:ascii="Times New Roman" w:hAnsi="Times New Roman"/>
        </w:rPr>
        <w:t xml:space="preserve">, communities, Indigenous organisations, peak bodies and other forums such as the </w:t>
      </w:r>
      <w:r w:rsidR="001B4277">
        <w:rPr>
          <w:rFonts w:ascii="Times New Roman" w:hAnsi="Times New Roman"/>
        </w:rPr>
        <w:t>Tripartite Forum.</w:t>
      </w:r>
      <w:r w:rsidR="001D282F">
        <w:rPr>
          <w:rFonts w:ascii="Times New Roman" w:hAnsi="Times New Roman"/>
        </w:rPr>
        <w:t xml:space="preserve"> </w:t>
      </w:r>
      <w:r w:rsidR="00E256EF">
        <w:rPr>
          <w:rFonts w:ascii="Times New Roman" w:hAnsi="Times New Roman"/>
        </w:rPr>
        <w:t xml:space="preserve"> </w:t>
      </w:r>
      <w:r w:rsidR="00E75151">
        <w:rPr>
          <w:rFonts w:ascii="Times New Roman" w:hAnsi="Times New Roman"/>
        </w:rPr>
        <w:t xml:space="preserve"> </w:t>
      </w:r>
    </w:p>
    <w:p w14:paraId="3C682DB0" w14:textId="0818EB13" w:rsidR="009F7314" w:rsidRPr="0087768B" w:rsidRDefault="00E75151" w:rsidP="00D208EF">
      <w:pPr>
        <w:pStyle w:val="ListParagraph"/>
        <w:keepLines/>
        <w:numPr>
          <w:ilvl w:val="0"/>
          <w:numId w:val="2"/>
        </w:numPr>
        <w:spacing w:after="0" w:line="240" w:lineRule="auto"/>
        <w:ind w:left="567" w:hanging="567"/>
        <w:contextualSpacing w:val="0"/>
        <w:rPr>
          <w:rFonts w:ascii="Times New Roman" w:hAnsi="Times New Roman"/>
        </w:rPr>
      </w:pPr>
      <w:r>
        <w:rPr>
          <w:rFonts w:ascii="Times New Roman" w:hAnsi="Times New Roman"/>
        </w:rPr>
        <w:t>W</w:t>
      </w:r>
      <w:r w:rsidR="009F7314" w:rsidRPr="009F7314">
        <w:rPr>
          <w:rFonts w:ascii="Times New Roman" w:hAnsi="Times New Roman"/>
        </w:rPr>
        <w:t xml:space="preserve">ork </w:t>
      </w:r>
      <w:r w:rsidR="009D0B5A">
        <w:rPr>
          <w:rFonts w:ascii="Times New Roman" w:hAnsi="Times New Roman"/>
        </w:rPr>
        <w:t>is already</w:t>
      </w:r>
      <w:r w:rsidR="009F7314" w:rsidRPr="009F7314">
        <w:rPr>
          <w:rFonts w:ascii="Times New Roman" w:hAnsi="Times New Roman"/>
        </w:rPr>
        <w:t xml:space="preserve"> underway to strengthen the</w:t>
      </w:r>
      <w:r w:rsidR="009D0B5A">
        <w:rPr>
          <w:rFonts w:ascii="Times New Roman" w:hAnsi="Times New Roman"/>
        </w:rPr>
        <w:t xml:space="preserve"> Tripartite Forum</w:t>
      </w:r>
      <w:r w:rsidR="009F7314" w:rsidRPr="009F7314">
        <w:rPr>
          <w:rFonts w:ascii="Times New Roman" w:hAnsi="Times New Roman"/>
        </w:rPr>
        <w:t xml:space="preserve">. </w:t>
      </w:r>
      <w:r w:rsidR="009D0B5A">
        <w:rPr>
          <w:rFonts w:ascii="Times New Roman" w:hAnsi="Times New Roman"/>
        </w:rPr>
        <w:t xml:space="preserve">At the Forum’s </w:t>
      </w:r>
      <w:r w:rsidR="008763CE" w:rsidRPr="009F7314">
        <w:rPr>
          <w:rFonts w:ascii="Times New Roman" w:hAnsi="Times New Roman"/>
        </w:rPr>
        <w:t>18 May 2020</w:t>
      </w:r>
      <w:r w:rsidR="009D0B5A">
        <w:rPr>
          <w:rFonts w:ascii="Times New Roman" w:hAnsi="Times New Roman"/>
        </w:rPr>
        <w:t xml:space="preserve"> meeting</w:t>
      </w:r>
      <w:r w:rsidR="000C138D" w:rsidRPr="009F7314">
        <w:rPr>
          <w:rFonts w:ascii="Times New Roman" w:hAnsi="Times New Roman"/>
        </w:rPr>
        <w:t xml:space="preserve">, </w:t>
      </w:r>
      <w:r w:rsidR="009D0B5A">
        <w:rPr>
          <w:rFonts w:ascii="Times New Roman" w:hAnsi="Times New Roman"/>
        </w:rPr>
        <w:t>members</w:t>
      </w:r>
      <w:r w:rsidR="000C138D" w:rsidRPr="009F7314">
        <w:rPr>
          <w:rFonts w:ascii="Times New Roman" w:hAnsi="Times New Roman"/>
        </w:rPr>
        <w:t xml:space="preserve"> agreed </w:t>
      </w:r>
      <w:r w:rsidR="008763CE" w:rsidRPr="009F7314">
        <w:rPr>
          <w:rFonts w:ascii="Times New Roman" w:hAnsi="Times New Roman"/>
        </w:rPr>
        <w:t>in principle to e</w:t>
      </w:r>
      <w:r w:rsidR="000C138D" w:rsidRPr="009F7314">
        <w:rPr>
          <w:rFonts w:ascii="Times New Roman" w:hAnsi="Times New Roman"/>
        </w:rPr>
        <w:t>xpand</w:t>
      </w:r>
      <w:r w:rsidR="009D0B5A">
        <w:rPr>
          <w:rFonts w:ascii="Times New Roman" w:hAnsi="Times New Roman"/>
        </w:rPr>
        <w:t xml:space="preserve"> the Forum’s </w:t>
      </w:r>
      <w:r w:rsidR="000C138D" w:rsidRPr="009F7314">
        <w:rPr>
          <w:rFonts w:ascii="Times New Roman" w:hAnsi="Times New Roman"/>
        </w:rPr>
        <w:t xml:space="preserve">role in </w:t>
      </w:r>
      <w:r w:rsidR="008763CE" w:rsidRPr="009F7314">
        <w:rPr>
          <w:rFonts w:ascii="Times New Roman" w:hAnsi="Times New Roman"/>
        </w:rPr>
        <w:t xml:space="preserve">accordance with the </w:t>
      </w:r>
      <w:r w:rsidR="000C138D" w:rsidRPr="009F7314">
        <w:rPr>
          <w:rFonts w:ascii="Times New Roman" w:hAnsi="Times New Roman"/>
        </w:rPr>
        <w:t xml:space="preserve">PC’s </w:t>
      </w:r>
      <w:r w:rsidR="008763CE" w:rsidRPr="009F7314">
        <w:rPr>
          <w:rFonts w:ascii="Times New Roman" w:hAnsi="Times New Roman"/>
        </w:rPr>
        <w:t>recommendation</w:t>
      </w:r>
      <w:r w:rsidR="00804956">
        <w:rPr>
          <w:rFonts w:ascii="Times New Roman" w:hAnsi="Times New Roman"/>
        </w:rPr>
        <w:t xml:space="preserve">. </w:t>
      </w:r>
      <w:r w:rsidR="00FE6A01" w:rsidRPr="00FE6A01">
        <w:rPr>
          <w:rFonts w:ascii="Times New Roman" w:hAnsi="Times New Roman"/>
        </w:rPr>
        <w:t>The Governmen</w:t>
      </w:r>
      <w:r w:rsidR="0018605B">
        <w:rPr>
          <w:rFonts w:ascii="Times New Roman" w:hAnsi="Times New Roman"/>
        </w:rPr>
        <w:t>t looks forward to continuing</w:t>
      </w:r>
      <w:r w:rsidR="00FE6A01" w:rsidRPr="00FE6A01">
        <w:rPr>
          <w:rFonts w:ascii="Times New Roman" w:hAnsi="Times New Roman"/>
        </w:rPr>
        <w:t xml:space="preserve"> wo</w:t>
      </w:r>
      <w:r w:rsidR="00FE6A01">
        <w:rPr>
          <w:rFonts w:ascii="Times New Roman" w:hAnsi="Times New Roman"/>
        </w:rPr>
        <w:t>rk with the Tripartite Forum and supporting its role in providing strategic advice to governments</w:t>
      </w:r>
      <w:r w:rsidR="00FE6A01" w:rsidRPr="00FE6A01">
        <w:rPr>
          <w:rFonts w:ascii="Times New Roman" w:hAnsi="Times New Roman"/>
        </w:rPr>
        <w:t>.</w:t>
      </w:r>
    </w:p>
    <w:p w14:paraId="1FDDED97" w14:textId="65BA14D2" w:rsidR="000F20C1" w:rsidRPr="00746EE1" w:rsidRDefault="001B4277" w:rsidP="000F20C1">
      <w:pPr>
        <w:pStyle w:val="ListParagraph"/>
        <w:keepLines/>
        <w:numPr>
          <w:ilvl w:val="0"/>
          <w:numId w:val="2"/>
        </w:numPr>
        <w:spacing w:after="0" w:line="240" w:lineRule="auto"/>
        <w:ind w:left="567" w:hanging="567"/>
        <w:contextualSpacing w:val="0"/>
        <w:rPr>
          <w:rFonts w:ascii="Times New Roman" w:hAnsi="Times New Roman"/>
        </w:rPr>
      </w:pPr>
      <w:r w:rsidRPr="00746EE1">
        <w:rPr>
          <w:rFonts w:ascii="Times New Roman" w:hAnsi="Times New Roman"/>
        </w:rPr>
        <w:t>In Ju</w:t>
      </w:r>
      <w:r w:rsidR="005C0B3A" w:rsidRPr="00746EE1">
        <w:rPr>
          <w:rFonts w:ascii="Times New Roman" w:hAnsi="Times New Roman"/>
        </w:rPr>
        <w:t>ne 2020,</w:t>
      </w:r>
      <w:r w:rsidRPr="00746EE1">
        <w:rPr>
          <w:rFonts w:ascii="Times New Roman" w:hAnsi="Times New Roman"/>
        </w:rPr>
        <w:t xml:space="preserve"> </w:t>
      </w:r>
      <w:r w:rsidR="007B57D5" w:rsidRPr="00746EE1">
        <w:rPr>
          <w:rFonts w:ascii="Times New Roman" w:hAnsi="Times New Roman"/>
        </w:rPr>
        <w:t>DSS</w:t>
      </w:r>
      <w:r w:rsidR="009D0B5A" w:rsidRPr="00746EE1">
        <w:rPr>
          <w:rFonts w:ascii="Times New Roman" w:hAnsi="Times New Roman"/>
        </w:rPr>
        <w:t xml:space="preserve"> provided </w:t>
      </w:r>
      <w:r w:rsidR="009F7314" w:rsidRPr="00746EE1">
        <w:rPr>
          <w:rFonts w:ascii="Times New Roman" w:hAnsi="Times New Roman"/>
        </w:rPr>
        <w:t>$1 million</w:t>
      </w:r>
      <w:r w:rsidR="00851B1E" w:rsidRPr="00746EE1">
        <w:rPr>
          <w:rFonts w:ascii="Times New Roman" w:hAnsi="Times New Roman"/>
        </w:rPr>
        <w:t xml:space="preserve"> </w:t>
      </w:r>
      <w:r w:rsidRPr="00746EE1">
        <w:rPr>
          <w:rFonts w:ascii="Times New Roman" w:hAnsi="Times New Roman"/>
        </w:rPr>
        <w:t>in departmental funds (ad-hoc)</w:t>
      </w:r>
      <w:r w:rsidR="009F7314" w:rsidRPr="00746EE1">
        <w:rPr>
          <w:rFonts w:ascii="Times New Roman" w:hAnsi="Times New Roman"/>
        </w:rPr>
        <w:t xml:space="preserve"> </w:t>
      </w:r>
      <w:r w:rsidR="00251F66" w:rsidRPr="00746EE1">
        <w:rPr>
          <w:rFonts w:ascii="Times New Roman" w:hAnsi="Times New Roman"/>
        </w:rPr>
        <w:t xml:space="preserve">to the Tripartite Forum’s Secretariat (delivered by Northern Territory Government’s Reform Management Office) </w:t>
      </w:r>
      <w:r w:rsidR="005C0B3A" w:rsidRPr="00746EE1">
        <w:rPr>
          <w:rFonts w:ascii="Times New Roman" w:hAnsi="Times New Roman"/>
        </w:rPr>
        <w:t>in response to the PC’s recommendations. This funding was provided t</w:t>
      </w:r>
      <w:r w:rsidR="00251F66" w:rsidRPr="00746EE1">
        <w:rPr>
          <w:rFonts w:ascii="Times New Roman" w:hAnsi="Times New Roman"/>
        </w:rPr>
        <w:t>o support the Forum’s forward work agenda</w:t>
      </w:r>
      <w:r w:rsidR="00AB763E" w:rsidRPr="00746EE1">
        <w:rPr>
          <w:rFonts w:ascii="Times New Roman" w:hAnsi="Times New Roman"/>
        </w:rPr>
        <w:t xml:space="preserve"> and build community sector capacity to contribute to the </w:t>
      </w:r>
      <w:r w:rsidR="00DC300E" w:rsidRPr="00746EE1">
        <w:rPr>
          <w:rFonts w:ascii="Times New Roman" w:hAnsi="Times New Roman"/>
        </w:rPr>
        <w:t xml:space="preserve">development of the </w:t>
      </w:r>
      <w:r w:rsidR="00AB763E" w:rsidRPr="00746EE1">
        <w:rPr>
          <w:rFonts w:ascii="Times New Roman" w:hAnsi="Times New Roman"/>
        </w:rPr>
        <w:t>Generational Strategy</w:t>
      </w:r>
      <w:r w:rsidR="00251F66" w:rsidRPr="00746EE1">
        <w:rPr>
          <w:rFonts w:ascii="Times New Roman" w:hAnsi="Times New Roman"/>
        </w:rPr>
        <w:t>.</w:t>
      </w:r>
      <w:r w:rsidR="00A43E20" w:rsidRPr="00746EE1">
        <w:rPr>
          <w:rFonts w:ascii="Times New Roman" w:hAnsi="Times New Roman"/>
        </w:rPr>
        <w:t xml:space="preserve"> </w:t>
      </w:r>
    </w:p>
    <w:p w14:paraId="3D3C9C25" w14:textId="2F09F0A9" w:rsidR="00DF1A0F" w:rsidRDefault="00DF1A0F" w:rsidP="000F20C1">
      <w:pPr>
        <w:keepLines/>
        <w:spacing w:after="0" w:line="240" w:lineRule="auto"/>
        <w:rPr>
          <w:rFonts w:ascii="Times New Roman" w:hAnsi="Times New Roman"/>
        </w:rPr>
      </w:pPr>
    </w:p>
    <w:p w14:paraId="29F0BA4F" w14:textId="77777777" w:rsidR="000F20C1" w:rsidRPr="008458BE" w:rsidRDefault="000F20C1" w:rsidP="000F20C1">
      <w:pPr>
        <w:pStyle w:val="Heading1"/>
        <w:keepLines/>
        <w:spacing w:before="80" w:after="0"/>
        <w:contextualSpacing w:val="0"/>
        <w:rPr>
          <w:rFonts w:ascii="Times New Roman" w:hAnsi="Times New Roman" w:cs="Times New Roman"/>
          <w:b/>
        </w:rPr>
      </w:pPr>
      <w:r w:rsidRPr="008458BE">
        <w:rPr>
          <w:rFonts w:ascii="Times New Roman" w:hAnsi="Times New Roman" w:cs="Times New Roman"/>
          <w:b/>
        </w:rPr>
        <w:t>Conclusion</w:t>
      </w:r>
    </w:p>
    <w:p w14:paraId="34A3B552" w14:textId="77777777" w:rsidR="000F20C1" w:rsidRDefault="007241DC" w:rsidP="000F20C1">
      <w:pPr>
        <w:pStyle w:val="ListParagraph"/>
        <w:keepLines/>
        <w:numPr>
          <w:ilvl w:val="0"/>
          <w:numId w:val="2"/>
        </w:numPr>
        <w:spacing w:after="0" w:line="240" w:lineRule="auto"/>
        <w:ind w:left="567" w:hanging="567"/>
        <w:contextualSpacing w:val="0"/>
        <w:rPr>
          <w:rFonts w:ascii="Times New Roman" w:hAnsi="Times New Roman"/>
        </w:rPr>
      </w:pPr>
      <w:r w:rsidRPr="000F20C1">
        <w:rPr>
          <w:rFonts w:ascii="Times New Roman" w:hAnsi="Times New Roman"/>
        </w:rPr>
        <w:t xml:space="preserve">The </w:t>
      </w:r>
      <w:r w:rsidR="005C0B3A" w:rsidRPr="000F20C1">
        <w:rPr>
          <w:rFonts w:ascii="Times New Roman" w:hAnsi="Times New Roman"/>
        </w:rPr>
        <w:t xml:space="preserve">National Agreement on </w:t>
      </w:r>
      <w:r w:rsidRPr="000F20C1">
        <w:rPr>
          <w:rFonts w:ascii="Times New Roman" w:hAnsi="Times New Roman"/>
        </w:rPr>
        <w:t>Closing the Gap is the centrepiece of Indigenous policy in Australia. Closing the Gap and the PC</w:t>
      </w:r>
      <w:r w:rsidR="005C0B3A" w:rsidRPr="000F20C1">
        <w:rPr>
          <w:rFonts w:ascii="Times New Roman" w:hAnsi="Times New Roman"/>
        </w:rPr>
        <w:t>’s report are</w:t>
      </w:r>
      <w:r w:rsidRPr="000F20C1">
        <w:rPr>
          <w:rFonts w:ascii="Times New Roman" w:hAnsi="Times New Roman"/>
        </w:rPr>
        <w:t xml:space="preserve"> both founded on the values of shared commitment and shared responsibility. The four reform areas in the PC</w:t>
      </w:r>
      <w:r w:rsidR="005C0B3A" w:rsidRPr="000F20C1">
        <w:rPr>
          <w:rFonts w:ascii="Times New Roman" w:hAnsi="Times New Roman"/>
        </w:rPr>
        <w:t>’s</w:t>
      </w:r>
      <w:r w:rsidRPr="000F20C1">
        <w:rPr>
          <w:rFonts w:ascii="Times New Roman" w:hAnsi="Times New Roman"/>
        </w:rPr>
        <w:t xml:space="preserve"> report are aligned with the four Key Reforms of Closing the Gap: </w:t>
      </w:r>
      <w:r w:rsidR="005C0B3A" w:rsidRPr="000F20C1">
        <w:rPr>
          <w:rFonts w:ascii="Times New Roman" w:hAnsi="Times New Roman"/>
        </w:rPr>
        <w:t>‘</w:t>
      </w:r>
      <w:r w:rsidRPr="000F20C1">
        <w:rPr>
          <w:rFonts w:ascii="Times New Roman" w:hAnsi="Times New Roman"/>
          <w:i/>
        </w:rPr>
        <w:t>Confirming the centrality of joint-decision making</w:t>
      </w:r>
      <w:r w:rsidR="005C0B3A" w:rsidRPr="000F20C1">
        <w:rPr>
          <w:rFonts w:ascii="Times New Roman" w:hAnsi="Times New Roman"/>
          <w:i/>
        </w:rPr>
        <w:t>’, ‘</w:t>
      </w:r>
      <w:r w:rsidRPr="000F20C1">
        <w:rPr>
          <w:rFonts w:ascii="Times New Roman" w:hAnsi="Times New Roman"/>
          <w:i/>
        </w:rPr>
        <w:t>Building the Aboriginal and Torres Strait Islander community controlled service sector</w:t>
      </w:r>
      <w:r w:rsidR="005C0B3A" w:rsidRPr="000F20C1">
        <w:rPr>
          <w:rFonts w:ascii="Times New Roman" w:hAnsi="Times New Roman"/>
          <w:i/>
        </w:rPr>
        <w:t>’,</w:t>
      </w:r>
      <w:r w:rsidRPr="000F20C1">
        <w:rPr>
          <w:rFonts w:ascii="Times New Roman" w:hAnsi="Times New Roman"/>
        </w:rPr>
        <w:t xml:space="preserve"> </w:t>
      </w:r>
      <w:r w:rsidR="005C0B3A" w:rsidRPr="000F20C1">
        <w:rPr>
          <w:rFonts w:ascii="Times New Roman" w:hAnsi="Times New Roman"/>
        </w:rPr>
        <w:t>‘</w:t>
      </w:r>
      <w:r w:rsidRPr="000F20C1">
        <w:rPr>
          <w:rFonts w:ascii="Times New Roman" w:hAnsi="Times New Roman"/>
          <w:i/>
        </w:rPr>
        <w:t>Transforming mainstream government services</w:t>
      </w:r>
      <w:r w:rsidR="005C0B3A" w:rsidRPr="000F20C1">
        <w:rPr>
          <w:rFonts w:ascii="Times New Roman" w:hAnsi="Times New Roman"/>
          <w:i/>
        </w:rPr>
        <w:t>’,</w:t>
      </w:r>
      <w:r w:rsidRPr="000F20C1">
        <w:rPr>
          <w:rFonts w:ascii="Times New Roman" w:hAnsi="Times New Roman"/>
        </w:rPr>
        <w:t xml:space="preserve"> and </w:t>
      </w:r>
      <w:r w:rsidR="005C0B3A" w:rsidRPr="000F20C1">
        <w:rPr>
          <w:rFonts w:ascii="Times New Roman" w:hAnsi="Times New Roman"/>
        </w:rPr>
        <w:t>‘</w:t>
      </w:r>
      <w:r w:rsidRPr="000F20C1">
        <w:rPr>
          <w:rFonts w:ascii="Times New Roman" w:hAnsi="Times New Roman"/>
          <w:i/>
        </w:rPr>
        <w:t>Improving data to support informed decision-making</w:t>
      </w:r>
      <w:r w:rsidR="005C0B3A" w:rsidRPr="000F20C1">
        <w:rPr>
          <w:rFonts w:ascii="Times New Roman" w:hAnsi="Times New Roman"/>
          <w:i/>
        </w:rPr>
        <w:t>’</w:t>
      </w:r>
      <w:r w:rsidRPr="000F20C1">
        <w:rPr>
          <w:rFonts w:ascii="Times New Roman" w:hAnsi="Times New Roman"/>
        </w:rPr>
        <w:t>.</w:t>
      </w:r>
    </w:p>
    <w:p w14:paraId="184A4C30" w14:textId="0B969A0B" w:rsidR="000F20C1" w:rsidRDefault="001B5E8E" w:rsidP="000F20C1">
      <w:pPr>
        <w:pStyle w:val="ListParagraph"/>
        <w:keepLines/>
        <w:numPr>
          <w:ilvl w:val="0"/>
          <w:numId w:val="2"/>
        </w:numPr>
        <w:spacing w:after="0" w:line="240" w:lineRule="auto"/>
        <w:ind w:left="567" w:hanging="567"/>
        <w:contextualSpacing w:val="0"/>
        <w:rPr>
          <w:rFonts w:ascii="Times New Roman" w:hAnsi="Times New Roman"/>
        </w:rPr>
      </w:pPr>
      <w:r w:rsidRPr="000F20C1">
        <w:rPr>
          <w:rFonts w:ascii="Times New Roman" w:hAnsi="Times New Roman"/>
        </w:rPr>
        <w:t xml:space="preserve">The Australian Government acknowledges the efforts and contributions of all </w:t>
      </w:r>
      <w:r w:rsidR="00D440E6" w:rsidRPr="000F20C1">
        <w:rPr>
          <w:rFonts w:ascii="Times New Roman" w:hAnsi="Times New Roman"/>
        </w:rPr>
        <w:t xml:space="preserve">those </w:t>
      </w:r>
      <w:r w:rsidRPr="000F20C1">
        <w:rPr>
          <w:rFonts w:ascii="Times New Roman" w:hAnsi="Times New Roman"/>
        </w:rPr>
        <w:t xml:space="preserve">involved in </w:t>
      </w:r>
      <w:r w:rsidR="00124CE1" w:rsidRPr="000F20C1">
        <w:rPr>
          <w:rFonts w:ascii="Times New Roman" w:hAnsi="Times New Roman"/>
        </w:rPr>
        <w:t>the PC’s study</w:t>
      </w:r>
      <w:r w:rsidRPr="000F20C1">
        <w:rPr>
          <w:rFonts w:ascii="Times New Roman" w:hAnsi="Times New Roman"/>
        </w:rPr>
        <w:t>.</w:t>
      </w:r>
      <w:r w:rsidR="00816D31" w:rsidRPr="000F20C1">
        <w:rPr>
          <w:rFonts w:ascii="Times New Roman" w:hAnsi="Times New Roman"/>
        </w:rPr>
        <w:t xml:space="preserve"> </w:t>
      </w:r>
    </w:p>
    <w:p w14:paraId="3E726DFF" w14:textId="77777777" w:rsidR="000F20C1" w:rsidRDefault="0064312E" w:rsidP="000F20C1">
      <w:pPr>
        <w:pStyle w:val="ListParagraph"/>
        <w:keepLines/>
        <w:numPr>
          <w:ilvl w:val="0"/>
          <w:numId w:val="2"/>
        </w:numPr>
        <w:spacing w:after="0" w:line="240" w:lineRule="auto"/>
        <w:ind w:left="567" w:hanging="567"/>
        <w:contextualSpacing w:val="0"/>
        <w:rPr>
          <w:rFonts w:ascii="Times New Roman" w:hAnsi="Times New Roman"/>
        </w:rPr>
      </w:pPr>
      <w:r w:rsidRPr="000F20C1">
        <w:rPr>
          <w:rFonts w:ascii="Times New Roman" w:hAnsi="Times New Roman"/>
        </w:rPr>
        <w:t xml:space="preserve">The Australian Government would also like to extend </w:t>
      </w:r>
      <w:r w:rsidR="0006291A" w:rsidRPr="000F20C1">
        <w:rPr>
          <w:rFonts w:ascii="Times New Roman" w:hAnsi="Times New Roman"/>
        </w:rPr>
        <w:t xml:space="preserve">special </w:t>
      </w:r>
      <w:r w:rsidRPr="000F20C1">
        <w:rPr>
          <w:rFonts w:ascii="Times New Roman" w:hAnsi="Times New Roman"/>
        </w:rPr>
        <w:t xml:space="preserve">thanks to </w:t>
      </w:r>
      <w:r w:rsidR="001B5E8E" w:rsidRPr="000F20C1">
        <w:rPr>
          <w:rFonts w:ascii="Times New Roman" w:hAnsi="Times New Roman"/>
        </w:rPr>
        <w:t xml:space="preserve">all </w:t>
      </w:r>
      <w:r w:rsidR="00D440E6" w:rsidRPr="000F20C1">
        <w:rPr>
          <w:rFonts w:ascii="Times New Roman" w:hAnsi="Times New Roman"/>
        </w:rPr>
        <w:t>community members</w:t>
      </w:r>
      <w:r w:rsidR="00BC0BD0" w:rsidRPr="000F20C1">
        <w:rPr>
          <w:rFonts w:ascii="Times New Roman" w:hAnsi="Times New Roman"/>
        </w:rPr>
        <w:t>, organisations</w:t>
      </w:r>
      <w:r w:rsidR="001B5E8E" w:rsidRPr="000F20C1">
        <w:rPr>
          <w:rFonts w:ascii="Times New Roman" w:hAnsi="Times New Roman"/>
        </w:rPr>
        <w:t xml:space="preserve">, </w:t>
      </w:r>
      <w:r w:rsidR="00C47A39" w:rsidRPr="000F20C1">
        <w:rPr>
          <w:rFonts w:ascii="Times New Roman" w:hAnsi="Times New Roman"/>
        </w:rPr>
        <w:t xml:space="preserve">peak bodies </w:t>
      </w:r>
      <w:r w:rsidR="001B5E8E" w:rsidRPr="000F20C1">
        <w:rPr>
          <w:rFonts w:ascii="Times New Roman" w:hAnsi="Times New Roman"/>
        </w:rPr>
        <w:t xml:space="preserve">and </w:t>
      </w:r>
      <w:r w:rsidR="00D440E6" w:rsidRPr="000F20C1">
        <w:rPr>
          <w:rFonts w:ascii="Times New Roman" w:hAnsi="Times New Roman"/>
        </w:rPr>
        <w:t xml:space="preserve">government </w:t>
      </w:r>
      <w:r w:rsidR="00BC0BD0" w:rsidRPr="000F20C1">
        <w:rPr>
          <w:rFonts w:ascii="Times New Roman" w:hAnsi="Times New Roman"/>
        </w:rPr>
        <w:t xml:space="preserve">agencies </w:t>
      </w:r>
      <w:r w:rsidR="00DB7E0C" w:rsidRPr="000F20C1">
        <w:rPr>
          <w:rFonts w:ascii="Times New Roman" w:hAnsi="Times New Roman"/>
        </w:rPr>
        <w:t>who have taken the time to contribute to this study, including those who provided data, participated in visits and roundtables, and made submissions.</w:t>
      </w:r>
      <w:bookmarkEnd w:id="10"/>
      <w:bookmarkEnd w:id="11"/>
      <w:bookmarkEnd w:id="12"/>
      <w:bookmarkEnd w:id="13"/>
      <w:bookmarkEnd w:id="14"/>
    </w:p>
    <w:p w14:paraId="037F36AF" w14:textId="5A5B7B5F" w:rsidR="005E0F1C" w:rsidRPr="000F20C1" w:rsidRDefault="005E0F1C" w:rsidP="000F20C1">
      <w:pPr>
        <w:pStyle w:val="ListParagraph"/>
        <w:keepLines/>
        <w:numPr>
          <w:ilvl w:val="0"/>
          <w:numId w:val="2"/>
        </w:numPr>
        <w:spacing w:after="0" w:line="240" w:lineRule="auto"/>
        <w:ind w:left="567" w:hanging="567"/>
        <w:contextualSpacing w:val="0"/>
        <w:rPr>
          <w:rFonts w:ascii="Times New Roman" w:hAnsi="Times New Roman"/>
        </w:rPr>
      </w:pPr>
      <w:r w:rsidRPr="000F20C1">
        <w:rPr>
          <w:rFonts w:ascii="Times New Roman" w:hAnsi="Times New Roman"/>
        </w:rPr>
        <w:t xml:space="preserve">Ensuring children </w:t>
      </w:r>
      <w:r w:rsidRPr="000B78BA">
        <w:rPr>
          <w:rFonts w:ascii="Times New Roman" w:hAnsi="Times New Roman"/>
        </w:rPr>
        <w:t>thrive</w:t>
      </w:r>
      <w:r w:rsidR="000B78BA">
        <w:rPr>
          <w:rFonts w:ascii="Times New Roman" w:hAnsi="Times New Roman"/>
        </w:rPr>
        <w:t xml:space="preserve">, </w:t>
      </w:r>
      <w:r w:rsidRPr="000B78BA">
        <w:rPr>
          <w:rFonts w:ascii="Times New Roman" w:hAnsi="Times New Roman"/>
        </w:rPr>
        <w:t>feel safe</w:t>
      </w:r>
      <w:r w:rsidRPr="000F20C1">
        <w:rPr>
          <w:rFonts w:ascii="Times New Roman" w:hAnsi="Times New Roman"/>
        </w:rPr>
        <w:t xml:space="preserve"> and supported is an important priority of the Australian Government. As we take the next steps to improve how governments fund and manage the services that support children in the Northern Territory, we remain committed to working in partnership with the Northern Territory Government, Indigenous Australians and the community sector, ensuring children and families are at the centre of the reform process.</w:t>
      </w:r>
    </w:p>
    <w:p w14:paraId="5F11BDC5" w14:textId="6BFA23F8" w:rsidR="001B284C" w:rsidRPr="001B284C" w:rsidRDefault="001B284C" w:rsidP="005E0F1C">
      <w:pPr>
        <w:pStyle w:val="ListParagraph"/>
        <w:keepLines/>
        <w:spacing w:before="80" w:after="0" w:line="240" w:lineRule="auto"/>
        <w:ind w:left="567"/>
        <w:contextualSpacing w:val="0"/>
        <w:rPr>
          <w:rFonts w:ascii="Times New Roman" w:hAnsi="Times New Roman"/>
        </w:rPr>
      </w:pPr>
    </w:p>
    <w:sectPr w:rsidR="001B284C" w:rsidRPr="001B284C" w:rsidSect="009D6624">
      <w:headerReference w:type="first" r:id="rId20"/>
      <w:footerReference w:type="first" r:id="rId21"/>
      <w:pgSz w:w="11906" w:h="16838"/>
      <w:pgMar w:top="1440" w:right="1080" w:bottom="1440" w:left="1080" w:header="284" w:footer="459"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D4099" w16cid:durableId="22F78AEA"/>
  <w16cid:commentId w16cid:paraId="05AB3271" w16cid:durableId="22F78AEB"/>
  <w16cid:commentId w16cid:paraId="0B81E770" w16cid:durableId="22F78AEC"/>
  <w16cid:commentId w16cid:paraId="119868BD" w16cid:durableId="22F78AED"/>
  <w16cid:commentId w16cid:paraId="513F20DF" w16cid:durableId="22F78AEE"/>
  <w16cid:commentId w16cid:paraId="7D9BA542" w16cid:durableId="22F78AEF"/>
  <w16cid:commentId w16cid:paraId="56B74632" w16cid:durableId="22F78AF0"/>
  <w16cid:commentId w16cid:paraId="5E474A57" w16cid:durableId="22F78AF1"/>
  <w16cid:commentId w16cid:paraId="3556ABCA" w16cid:durableId="22F78AF2"/>
  <w16cid:commentId w16cid:paraId="76C592B9" w16cid:durableId="22F78AF3"/>
  <w16cid:commentId w16cid:paraId="3A772228" w16cid:durableId="22F78AF4"/>
  <w16cid:commentId w16cid:paraId="131DF557" w16cid:durableId="22F78AF5"/>
  <w16cid:commentId w16cid:paraId="79029D6D" w16cid:durableId="22F78AF6"/>
  <w16cid:commentId w16cid:paraId="191834FF" w16cid:durableId="22F78AF7"/>
  <w16cid:commentId w16cid:paraId="58379A09" w16cid:durableId="22F78AF8"/>
  <w16cid:commentId w16cid:paraId="5243D171" w16cid:durableId="22F78AF9"/>
  <w16cid:commentId w16cid:paraId="781B25D0" w16cid:durableId="22F78AFA"/>
  <w16cid:commentId w16cid:paraId="2FE6975C" w16cid:durableId="22F78AFB"/>
  <w16cid:commentId w16cid:paraId="02077488" w16cid:durableId="22F78AFC"/>
  <w16cid:commentId w16cid:paraId="127D0CE2" w16cid:durableId="22F78AFD"/>
  <w16cid:commentId w16cid:paraId="0D377158" w16cid:durableId="22F78AFE"/>
  <w16cid:commentId w16cid:paraId="4CEF4413" w16cid:durableId="22F78AFF"/>
  <w16cid:commentId w16cid:paraId="00C43E8F" w16cid:durableId="22F78B00"/>
  <w16cid:commentId w16cid:paraId="03A0A3AF" w16cid:durableId="22F78B05"/>
  <w16cid:commentId w16cid:paraId="118AA233" w16cid:durableId="22F78B07"/>
  <w16cid:commentId w16cid:paraId="30939179" w16cid:durableId="22F78B08"/>
  <w16cid:commentId w16cid:paraId="41FEFD86" w16cid:durableId="22F78B09"/>
  <w16cid:commentId w16cid:paraId="44B418BD" w16cid:durableId="22F78B0A"/>
  <w16cid:commentId w16cid:paraId="4C25D76B" w16cid:durableId="22F78B0B"/>
  <w16cid:commentId w16cid:paraId="62C60CC5" w16cid:durableId="22F78B0C"/>
  <w16cid:commentId w16cid:paraId="62E4C6CB" w16cid:durableId="22F78B0D"/>
  <w16cid:commentId w16cid:paraId="7DAB42CB" w16cid:durableId="22F78B0E"/>
  <w16cid:commentId w16cid:paraId="2E2E58EA" w16cid:durableId="22F78B0F"/>
  <w16cid:commentId w16cid:paraId="4315C387" w16cid:durableId="22F78B12"/>
  <w16cid:commentId w16cid:paraId="00505E45" w16cid:durableId="22F78B15"/>
  <w16cid:commentId w16cid:paraId="34FAE690" w16cid:durableId="22F78B16"/>
  <w16cid:commentId w16cid:paraId="5C08F7C6" w16cid:durableId="22F78B17"/>
  <w16cid:commentId w16cid:paraId="683978D1" w16cid:durableId="22F78B1A"/>
  <w16cid:commentId w16cid:paraId="186BF7F5" w16cid:durableId="22F78B1B"/>
  <w16cid:commentId w16cid:paraId="0B952892" w16cid:durableId="22F78B1C"/>
  <w16cid:commentId w16cid:paraId="4C06F663" w16cid:durableId="22F78B1D"/>
  <w16cid:commentId w16cid:paraId="6C45583A" w16cid:durableId="22F78B1E"/>
  <w16cid:commentId w16cid:paraId="01143D16" w16cid:durableId="22F78B1F"/>
  <w16cid:commentId w16cid:paraId="7B87268C" w16cid:durableId="22F78B20"/>
  <w16cid:commentId w16cid:paraId="631B221B" w16cid:durableId="22F78B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6156F" w14:textId="77777777" w:rsidR="0067113A" w:rsidRDefault="0067113A" w:rsidP="008F3023">
      <w:pPr>
        <w:spacing w:before="0" w:after="0" w:line="240" w:lineRule="auto"/>
      </w:pPr>
      <w:r>
        <w:separator/>
      </w:r>
    </w:p>
  </w:endnote>
  <w:endnote w:type="continuationSeparator" w:id="0">
    <w:p w14:paraId="323F5E6E" w14:textId="77777777" w:rsidR="0067113A" w:rsidRDefault="0067113A" w:rsidP="008F3023">
      <w:pPr>
        <w:spacing w:before="0" w:after="0" w:line="240" w:lineRule="auto"/>
      </w:pPr>
      <w:r>
        <w:continuationSeparator/>
      </w:r>
    </w:p>
  </w:endnote>
  <w:endnote w:type="continuationNotice" w:id="1">
    <w:p w14:paraId="2C33C92F" w14:textId="77777777" w:rsidR="0067113A" w:rsidRDefault="006711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FE2C0" w14:textId="77777777" w:rsidR="003F189B" w:rsidRDefault="003F1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586C3DA5" w14:textId="280FCFF6" w:rsidR="00F2053B" w:rsidRDefault="00F2053B" w:rsidP="003258D7">
        <w:pPr>
          <w:pStyle w:val="Footer"/>
          <w:jc w:val="center"/>
        </w:pPr>
        <w:r>
          <w:fldChar w:fldCharType="begin"/>
        </w:r>
        <w:r>
          <w:instrText xml:space="preserve"> PAGE   \* MERGEFORMAT </w:instrText>
        </w:r>
        <w:r>
          <w:fldChar w:fldCharType="separate"/>
        </w:r>
        <w:r w:rsidR="003F189B">
          <w:rPr>
            <w:noProof/>
          </w:rPr>
          <w:t>7</w:t>
        </w:r>
        <w:r>
          <w:rPr>
            <w:noProof/>
          </w:rPr>
          <w:fldChar w:fldCharType="end"/>
        </w:r>
      </w:p>
    </w:sdtContent>
  </w:sdt>
  <w:p w14:paraId="4B85BA9B" w14:textId="77777777" w:rsidR="00F2053B" w:rsidRDefault="00F20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8048" w14:textId="77777777" w:rsidR="00F2053B" w:rsidRDefault="00F2053B" w:rsidP="00B10EB1">
    <w:pPr>
      <w:pStyle w:val="Footer"/>
      <w:ind w:left="-1417"/>
    </w:pPr>
    <w:r>
      <w:rPr>
        <w:noProof/>
      </w:rPr>
      <w:drawing>
        <wp:inline distT="0" distB="0" distL="0" distR="0" wp14:anchorId="7E096733" wp14:editId="49C90337">
          <wp:extent cx="7518949" cy="5111750"/>
          <wp:effectExtent l="0" t="0" r="6350" b="0"/>
          <wp:docPr id="8" name="Picture 8"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398"/>
                  <a:stretch/>
                </pic:blipFill>
                <pic:spPr bwMode="auto">
                  <a:xfrm>
                    <a:off x="0" y="0"/>
                    <a:ext cx="7519595" cy="511218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03039"/>
      <w:docPartObj>
        <w:docPartGallery w:val="Page Numbers (Bottom of Page)"/>
        <w:docPartUnique/>
      </w:docPartObj>
    </w:sdtPr>
    <w:sdtEndPr>
      <w:rPr>
        <w:noProof/>
      </w:rPr>
    </w:sdtEndPr>
    <w:sdtContent>
      <w:p w14:paraId="09A23913" w14:textId="6C6C519C" w:rsidR="00F2053B" w:rsidRDefault="00F2053B" w:rsidP="008E32D4">
        <w:pPr>
          <w:pStyle w:val="Footer"/>
          <w:jc w:val="center"/>
        </w:pPr>
        <w:r>
          <w:fldChar w:fldCharType="begin"/>
        </w:r>
        <w:r>
          <w:instrText xml:space="preserve"> PAGE   \* MERGEFORMAT </w:instrText>
        </w:r>
        <w:r>
          <w:fldChar w:fldCharType="separate"/>
        </w:r>
        <w:r w:rsidR="003F189B">
          <w:rPr>
            <w:noProof/>
          </w:rPr>
          <w:t>1</w:t>
        </w:r>
        <w:r>
          <w:rPr>
            <w:noProof/>
          </w:rPr>
          <w:fldChar w:fldCharType="end"/>
        </w:r>
      </w:p>
    </w:sdtContent>
  </w:sdt>
  <w:p w14:paraId="2F7456F5" w14:textId="77777777" w:rsidR="00F2053B" w:rsidRDefault="00F2053B" w:rsidP="00B10EB1">
    <w:pPr>
      <w:pStyle w:val="Footer"/>
      <w:ind w:left="-141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918731"/>
      <w:docPartObj>
        <w:docPartGallery w:val="Page Numbers (Bottom of Page)"/>
        <w:docPartUnique/>
      </w:docPartObj>
    </w:sdtPr>
    <w:sdtEndPr>
      <w:rPr>
        <w:noProof/>
      </w:rPr>
    </w:sdtEndPr>
    <w:sdtContent>
      <w:p w14:paraId="79290A9A" w14:textId="03728D31" w:rsidR="00E11CA5" w:rsidRDefault="00E11CA5" w:rsidP="008E32D4">
        <w:pPr>
          <w:pStyle w:val="Footer"/>
          <w:jc w:val="center"/>
        </w:pPr>
        <w:r>
          <w:fldChar w:fldCharType="begin"/>
        </w:r>
        <w:r>
          <w:instrText xml:space="preserve"> PAGE   \* MERGEFORMAT </w:instrText>
        </w:r>
        <w:r>
          <w:fldChar w:fldCharType="separate"/>
        </w:r>
        <w:r w:rsidR="003F189B">
          <w:rPr>
            <w:noProof/>
          </w:rPr>
          <w:t>2</w:t>
        </w:r>
        <w:r>
          <w:rPr>
            <w:noProof/>
          </w:rPr>
          <w:fldChar w:fldCharType="end"/>
        </w:r>
      </w:p>
    </w:sdtContent>
  </w:sdt>
  <w:p w14:paraId="3688B446" w14:textId="77777777" w:rsidR="00E11CA5" w:rsidRDefault="00E11CA5"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A01FF" w14:textId="77777777" w:rsidR="0067113A" w:rsidRDefault="0067113A" w:rsidP="008F3023">
      <w:pPr>
        <w:spacing w:before="0" w:after="0" w:line="240" w:lineRule="auto"/>
      </w:pPr>
      <w:r>
        <w:separator/>
      </w:r>
    </w:p>
  </w:footnote>
  <w:footnote w:type="continuationSeparator" w:id="0">
    <w:p w14:paraId="6FAA1A9F" w14:textId="77777777" w:rsidR="0067113A" w:rsidRDefault="0067113A" w:rsidP="008F3023">
      <w:pPr>
        <w:spacing w:before="0" w:after="0" w:line="240" w:lineRule="auto"/>
      </w:pPr>
      <w:r>
        <w:continuationSeparator/>
      </w:r>
    </w:p>
  </w:footnote>
  <w:footnote w:type="continuationNotice" w:id="1">
    <w:p w14:paraId="12C812F8" w14:textId="77777777" w:rsidR="0067113A" w:rsidRDefault="0067113A">
      <w:pPr>
        <w:spacing w:before="0" w:after="0" w:line="240" w:lineRule="auto"/>
      </w:pPr>
    </w:p>
  </w:footnote>
  <w:footnote w:id="2">
    <w:p w14:paraId="332C88CB" w14:textId="77777777" w:rsidR="00F2053B" w:rsidRPr="000F20C1" w:rsidRDefault="00F2053B" w:rsidP="000F20C1">
      <w:pPr>
        <w:pStyle w:val="FootnoteText"/>
        <w:rPr>
          <w:rFonts w:ascii="Times New Roman" w:hAnsi="Times New Roman"/>
          <w:sz w:val="18"/>
          <w:szCs w:val="18"/>
        </w:rPr>
      </w:pPr>
      <w:r w:rsidRPr="000F20C1">
        <w:rPr>
          <w:rStyle w:val="FootnoteReference"/>
          <w:rFonts w:ascii="Times New Roman" w:hAnsi="Times New Roman"/>
          <w:sz w:val="18"/>
          <w:szCs w:val="18"/>
        </w:rPr>
        <w:footnoteRef/>
      </w:r>
      <w:r w:rsidRPr="000F20C1">
        <w:rPr>
          <w:rFonts w:ascii="Times New Roman" w:hAnsi="Times New Roman"/>
          <w:sz w:val="18"/>
          <w:szCs w:val="18"/>
        </w:rPr>
        <w:t xml:space="preserve"> Productivity Commission 2020, </w:t>
      </w:r>
      <w:r w:rsidRPr="000F20C1">
        <w:rPr>
          <w:rFonts w:ascii="Times New Roman" w:hAnsi="Times New Roman"/>
          <w:i/>
          <w:sz w:val="18"/>
          <w:szCs w:val="18"/>
        </w:rPr>
        <w:t>Expenditure on Children in the Northern Territory</w:t>
      </w:r>
      <w:r w:rsidRPr="000F20C1">
        <w:rPr>
          <w:rFonts w:ascii="Times New Roman" w:hAnsi="Times New Roman"/>
          <w:sz w:val="18"/>
          <w:szCs w:val="18"/>
        </w:rPr>
        <w:t>, Study Report, Canberra.</w:t>
      </w:r>
    </w:p>
  </w:footnote>
  <w:footnote w:id="3">
    <w:p w14:paraId="2EF7BE9D" w14:textId="5B7EC3E5" w:rsidR="0059102A" w:rsidRPr="000F20C1" w:rsidRDefault="0059102A" w:rsidP="000F20C1">
      <w:pPr>
        <w:pStyle w:val="FootnoteText"/>
        <w:rPr>
          <w:rFonts w:ascii="Times New Roman" w:hAnsi="Times New Roman"/>
          <w:sz w:val="18"/>
          <w:szCs w:val="18"/>
        </w:rPr>
      </w:pPr>
      <w:r w:rsidRPr="000F20C1">
        <w:rPr>
          <w:rStyle w:val="FootnoteReference"/>
          <w:rFonts w:ascii="Times New Roman" w:hAnsi="Times New Roman"/>
          <w:sz w:val="18"/>
          <w:szCs w:val="18"/>
        </w:rPr>
        <w:footnoteRef/>
      </w:r>
      <w:r w:rsidRPr="000F20C1">
        <w:rPr>
          <w:rFonts w:ascii="Times New Roman" w:hAnsi="Times New Roman"/>
          <w:sz w:val="18"/>
          <w:szCs w:val="18"/>
        </w:rPr>
        <w:t xml:space="preserve"> This figure does not include National Partnership funding such as </w:t>
      </w:r>
      <w:r w:rsidR="002659EC" w:rsidRPr="000F20C1">
        <w:rPr>
          <w:rFonts w:ascii="Times New Roman" w:hAnsi="Times New Roman"/>
          <w:sz w:val="18"/>
          <w:szCs w:val="18"/>
        </w:rPr>
        <w:t>Northern Territory Remote Aboriginal Investment (</w:t>
      </w:r>
      <w:r w:rsidRPr="000F20C1">
        <w:rPr>
          <w:rFonts w:ascii="Times New Roman" w:hAnsi="Times New Roman"/>
          <w:sz w:val="18"/>
          <w:szCs w:val="18"/>
        </w:rPr>
        <w:t>NTRAI</w:t>
      </w:r>
      <w:r w:rsidR="002659EC" w:rsidRPr="000F20C1">
        <w:rPr>
          <w:rFonts w:ascii="Times New Roman" w:hAnsi="Times New Roman"/>
          <w:sz w:val="18"/>
          <w:szCs w:val="18"/>
        </w:rPr>
        <w:t>)</w:t>
      </w:r>
      <w:r w:rsidRPr="000F20C1">
        <w:rPr>
          <w:rFonts w:ascii="Times New Roman" w:hAnsi="Times New Roman"/>
          <w:sz w:val="18"/>
          <w:szCs w:val="18"/>
        </w:rPr>
        <w:t xml:space="preserve"> or </w:t>
      </w:r>
      <w:r w:rsidR="002659EC" w:rsidRPr="000F20C1">
        <w:rPr>
          <w:rFonts w:ascii="Times New Roman" w:hAnsi="Times New Roman"/>
          <w:sz w:val="18"/>
          <w:szCs w:val="18"/>
        </w:rPr>
        <w:t>u</w:t>
      </w:r>
      <w:r w:rsidRPr="000F20C1">
        <w:rPr>
          <w:rFonts w:ascii="Times New Roman" w:hAnsi="Times New Roman"/>
          <w:sz w:val="18"/>
          <w:szCs w:val="18"/>
        </w:rPr>
        <w:t>niversal services funding</w:t>
      </w:r>
      <w:r w:rsidR="002659EC" w:rsidRPr="000F20C1">
        <w:rPr>
          <w:rFonts w:ascii="Times New Roman" w:hAnsi="Times New Roman"/>
          <w:sz w:val="18"/>
          <w:szCs w:val="18"/>
        </w:rPr>
        <w:t>.</w:t>
      </w:r>
    </w:p>
  </w:footnote>
  <w:footnote w:id="4">
    <w:p w14:paraId="2EBABAA0" w14:textId="075E707E" w:rsidR="009801CC" w:rsidRPr="000F20C1" w:rsidRDefault="009801CC" w:rsidP="000F20C1">
      <w:pPr>
        <w:pStyle w:val="FootnoteText"/>
        <w:rPr>
          <w:rFonts w:ascii="Times New Roman" w:hAnsi="Times New Roman"/>
          <w:sz w:val="18"/>
          <w:szCs w:val="18"/>
        </w:rPr>
      </w:pPr>
      <w:r w:rsidRPr="000F20C1">
        <w:rPr>
          <w:rStyle w:val="FootnoteReference"/>
          <w:rFonts w:ascii="Times New Roman" w:hAnsi="Times New Roman"/>
          <w:sz w:val="18"/>
          <w:szCs w:val="18"/>
        </w:rPr>
        <w:footnoteRef/>
      </w:r>
      <w:r w:rsidRPr="000F20C1">
        <w:rPr>
          <w:rFonts w:ascii="Times New Roman" w:hAnsi="Times New Roman"/>
          <w:sz w:val="18"/>
          <w:szCs w:val="18"/>
        </w:rPr>
        <w:t xml:space="preserve"> PC’s Reform Area 1 aligns with Closing the Gap’s Priority Reforms 1 and 3 – ‘</w:t>
      </w:r>
      <w:r w:rsidRPr="000F20C1">
        <w:rPr>
          <w:rFonts w:ascii="Times New Roman" w:hAnsi="Times New Roman"/>
          <w:i/>
          <w:sz w:val="18"/>
          <w:szCs w:val="18"/>
        </w:rPr>
        <w:t>Formal partnerships and shared decision-making</w:t>
      </w:r>
      <w:r w:rsidRPr="000F20C1">
        <w:rPr>
          <w:rFonts w:ascii="Times New Roman" w:hAnsi="Times New Roman"/>
          <w:sz w:val="18"/>
          <w:szCs w:val="18"/>
        </w:rPr>
        <w:t>’ and ‘</w:t>
      </w:r>
      <w:r w:rsidRPr="000F20C1">
        <w:rPr>
          <w:rFonts w:ascii="Times New Roman" w:hAnsi="Times New Roman"/>
          <w:i/>
          <w:sz w:val="18"/>
          <w:szCs w:val="18"/>
        </w:rPr>
        <w:t>Shared access to data and information at regional level</w:t>
      </w:r>
      <w:r w:rsidRPr="000F20C1">
        <w:rPr>
          <w:rFonts w:ascii="Times New Roman" w:hAnsi="Times New Roman"/>
          <w:sz w:val="18"/>
          <w:szCs w:val="18"/>
        </w:rPr>
        <w:t>’.</w:t>
      </w:r>
    </w:p>
  </w:footnote>
  <w:footnote w:id="5">
    <w:p w14:paraId="773A82B9" w14:textId="1B3D9277" w:rsidR="009801CC" w:rsidRPr="000F20C1" w:rsidRDefault="009801CC" w:rsidP="000F20C1">
      <w:pPr>
        <w:pStyle w:val="FootnoteText"/>
        <w:rPr>
          <w:rFonts w:ascii="Times New Roman" w:hAnsi="Times New Roman"/>
          <w:sz w:val="18"/>
          <w:szCs w:val="18"/>
        </w:rPr>
      </w:pPr>
      <w:r w:rsidRPr="000F20C1">
        <w:rPr>
          <w:rStyle w:val="FootnoteReference"/>
          <w:rFonts w:ascii="Times New Roman" w:hAnsi="Times New Roman"/>
          <w:sz w:val="18"/>
          <w:szCs w:val="18"/>
        </w:rPr>
        <w:footnoteRef/>
      </w:r>
      <w:r w:rsidRPr="000F20C1">
        <w:rPr>
          <w:rFonts w:ascii="Times New Roman" w:hAnsi="Times New Roman"/>
          <w:sz w:val="18"/>
          <w:szCs w:val="18"/>
        </w:rPr>
        <w:t xml:space="preserve"> PC’s Reform Area 2 aligns with </w:t>
      </w:r>
      <w:proofErr w:type="gramStart"/>
      <w:r w:rsidRPr="000F20C1">
        <w:rPr>
          <w:rFonts w:ascii="Times New Roman" w:hAnsi="Times New Roman"/>
          <w:sz w:val="18"/>
          <w:szCs w:val="18"/>
        </w:rPr>
        <w:t>Closing</w:t>
      </w:r>
      <w:proofErr w:type="gramEnd"/>
      <w:r w:rsidRPr="000F20C1">
        <w:rPr>
          <w:rFonts w:ascii="Times New Roman" w:hAnsi="Times New Roman"/>
          <w:sz w:val="18"/>
          <w:szCs w:val="18"/>
        </w:rPr>
        <w:t xml:space="preserve"> the Gap’s Priority Reforms 1 and 2 – ‘</w:t>
      </w:r>
      <w:r w:rsidRPr="000F20C1">
        <w:rPr>
          <w:rFonts w:ascii="Times New Roman" w:hAnsi="Times New Roman"/>
          <w:i/>
          <w:sz w:val="18"/>
          <w:szCs w:val="18"/>
        </w:rPr>
        <w:t>Formal partnerships and shared decision-making</w:t>
      </w:r>
      <w:r w:rsidRPr="000F20C1">
        <w:rPr>
          <w:rFonts w:ascii="Times New Roman" w:hAnsi="Times New Roman"/>
          <w:sz w:val="18"/>
          <w:szCs w:val="18"/>
        </w:rPr>
        <w:t>’ and ‘</w:t>
      </w:r>
      <w:r w:rsidRPr="000F20C1">
        <w:rPr>
          <w:rFonts w:ascii="Times New Roman" w:hAnsi="Times New Roman"/>
          <w:i/>
          <w:sz w:val="18"/>
          <w:szCs w:val="18"/>
        </w:rPr>
        <w:t>Building the community controlled sector</w:t>
      </w:r>
      <w:r w:rsidRPr="000F20C1">
        <w:rPr>
          <w:rFonts w:ascii="Times New Roman" w:hAnsi="Times New Roman"/>
          <w:sz w:val="18"/>
          <w:szCs w:val="18"/>
        </w:rPr>
        <w:t>’.</w:t>
      </w:r>
    </w:p>
  </w:footnote>
  <w:footnote w:id="6">
    <w:p w14:paraId="30E41FB4" w14:textId="48CF9BB2" w:rsidR="000E771D" w:rsidRPr="000F20C1" w:rsidRDefault="000E771D" w:rsidP="000F20C1">
      <w:pPr>
        <w:spacing w:before="80" w:after="0" w:line="240" w:lineRule="auto"/>
        <w:rPr>
          <w:rFonts w:ascii="Times New Roman" w:hAnsi="Times New Roman"/>
          <w:i/>
          <w:sz w:val="18"/>
          <w:szCs w:val="18"/>
        </w:rPr>
      </w:pPr>
      <w:r w:rsidRPr="000F20C1">
        <w:rPr>
          <w:rStyle w:val="FootnoteReference"/>
          <w:rFonts w:ascii="Times New Roman" w:hAnsi="Times New Roman"/>
          <w:sz w:val="18"/>
          <w:szCs w:val="18"/>
        </w:rPr>
        <w:footnoteRef/>
      </w:r>
      <w:r w:rsidR="007F174A" w:rsidRPr="000F20C1">
        <w:rPr>
          <w:rFonts w:ascii="Times New Roman" w:hAnsi="Times New Roman"/>
          <w:sz w:val="18"/>
          <w:szCs w:val="18"/>
        </w:rPr>
        <w:t xml:space="preserve"> PC’s Reform Area 3</w:t>
      </w:r>
      <w:r w:rsidRPr="000F20C1">
        <w:rPr>
          <w:rFonts w:ascii="Times New Roman" w:hAnsi="Times New Roman"/>
          <w:sz w:val="18"/>
          <w:szCs w:val="18"/>
        </w:rPr>
        <w:t xml:space="preserve"> aligns with </w:t>
      </w:r>
      <w:proofErr w:type="gramStart"/>
      <w:r w:rsidR="007F174A" w:rsidRPr="000F20C1">
        <w:rPr>
          <w:rFonts w:ascii="Times New Roman" w:hAnsi="Times New Roman"/>
          <w:sz w:val="18"/>
          <w:szCs w:val="18"/>
        </w:rPr>
        <w:t>Closing</w:t>
      </w:r>
      <w:proofErr w:type="gramEnd"/>
      <w:r w:rsidR="007F174A" w:rsidRPr="000F20C1">
        <w:rPr>
          <w:rFonts w:ascii="Times New Roman" w:hAnsi="Times New Roman"/>
          <w:sz w:val="18"/>
          <w:szCs w:val="18"/>
        </w:rPr>
        <w:t xml:space="preserve"> the Gap’s </w:t>
      </w:r>
      <w:r w:rsidR="001B4277" w:rsidRPr="000F20C1">
        <w:rPr>
          <w:rFonts w:ascii="Times New Roman" w:hAnsi="Times New Roman"/>
          <w:sz w:val="18"/>
          <w:szCs w:val="18"/>
        </w:rPr>
        <w:t xml:space="preserve">Priority Reform 3 – </w:t>
      </w:r>
      <w:r w:rsidRPr="000F20C1">
        <w:rPr>
          <w:rFonts w:ascii="Times New Roman" w:hAnsi="Times New Roman"/>
          <w:sz w:val="18"/>
          <w:szCs w:val="18"/>
        </w:rPr>
        <w:t>‘</w:t>
      </w:r>
      <w:r w:rsidRPr="000F20C1">
        <w:rPr>
          <w:rFonts w:ascii="Times New Roman" w:hAnsi="Times New Roman"/>
          <w:i/>
          <w:sz w:val="18"/>
          <w:szCs w:val="18"/>
        </w:rPr>
        <w:t>Shared access to data and information at regional level’</w:t>
      </w:r>
      <w:r w:rsidR="009801CC" w:rsidRPr="000F20C1">
        <w:rPr>
          <w:rFonts w:ascii="Times New Roman" w:hAnsi="Times New Roman"/>
          <w:i/>
          <w:sz w:val="18"/>
          <w:szCs w:val="18"/>
        </w:rPr>
        <w:t>.</w:t>
      </w:r>
    </w:p>
  </w:footnote>
  <w:footnote w:id="7">
    <w:p w14:paraId="41029130" w14:textId="40D09BFC" w:rsidR="002C0323" w:rsidRPr="000F20C1" w:rsidRDefault="002C0323" w:rsidP="000F20C1">
      <w:pPr>
        <w:spacing w:before="80" w:after="0" w:line="240" w:lineRule="auto"/>
        <w:rPr>
          <w:rFonts w:ascii="Times New Roman" w:hAnsi="Times New Roman"/>
          <w:sz w:val="20"/>
          <w:szCs w:val="20"/>
        </w:rPr>
      </w:pPr>
      <w:r w:rsidRPr="000F20C1">
        <w:rPr>
          <w:rStyle w:val="FootnoteReference"/>
          <w:rFonts w:ascii="Times New Roman" w:hAnsi="Times New Roman"/>
          <w:sz w:val="18"/>
          <w:szCs w:val="18"/>
        </w:rPr>
        <w:footnoteRef/>
      </w:r>
      <w:r w:rsidR="001B4277" w:rsidRPr="000F20C1">
        <w:rPr>
          <w:rFonts w:ascii="Times New Roman" w:hAnsi="Times New Roman"/>
          <w:sz w:val="18"/>
          <w:szCs w:val="18"/>
        </w:rPr>
        <w:t xml:space="preserve"> PC’s </w:t>
      </w:r>
      <w:r w:rsidRPr="000F20C1">
        <w:rPr>
          <w:rFonts w:ascii="Times New Roman" w:hAnsi="Times New Roman"/>
          <w:sz w:val="18"/>
          <w:szCs w:val="18"/>
        </w:rPr>
        <w:t>Reform Area 2 aligns with C</w:t>
      </w:r>
      <w:r w:rsidR="001B4277" w:rsidRPr="000F20C1">
        <w:rPr>
          <w:rFonts w:ascii="Times New Roman" w:hAnsi="Times New Roman"/>
          <w:sz w:val="18"/>
          <w:szCs w:val="18"/>
        </w:rPr>
        <w:t xml:space="preserve">losing the Gap’s Priority Reforms 2 and 3 – </w:t>
      </w:r>
      <w:r w:rsidRPr="000F20C1">
        <w:rPr>
          <w:rFonts w:ascii="Times New Roman" w:hAnsi="Times New Roman"/>
          <w:sz w:val="18"/>
          <w:szCs w:val="18"/>
        </w:rPr>
        <w:t>‘</w:t>
      </w:r>
      <w:r w:rsidRPr="000F20C1">
        <w:rPr>
          <w:rFonts w:ascii="Times New Roman" w:hAnsi="Times New Roman"/>
          <w:i/>
          <w:sz w:val="18"/>
          <w:szCs w:val="18"/>
        </w:rPr>
        <w:t>Building the community controlled sector’</w:t>
      </w:r>
      <w:r w:rsidRPr="000F20C1">
        <w:rPr>
          <w:rFonts w:ascii="Times New Roman" w:hAnsi="Times New Roman"/>
          <w:sz w:val="18"/>
          <w:szCs w:val="18"/>
        </w:rPr>
        <w:t xml:space="preserve"> and ‘</w:t>
      </w:r>
      <w:r w:rsidRPr="000F20C1">
        <w:rPr>
          <w:rFonts w:ascii="Times New Roman" w:hAnsi="Times New Roman"/>
          <w:i/>
          <w:sz w:val="18"/>
          <w:szCs w:val="18"/>
        </w:rPr>
        <w:t>Transforming Government organisations’</w:t>
      </w:r>
      <w:r w:rsidR="009801CC" w:rsidRPr="000F20C1">
        <w:rPr>
          <w:rFonts w:ascii="Times New Roman" w:hAnsi="Times New Roman"/>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9A71" w14:textId="77777777" w:rsidR="003F189B" w:rsidRDefault="003F1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D23C5" w14:textId="77777777" w:rsidR="003F189B" w:rsidRDefault="003F1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6F14" w14:textId="17F10C36" w:rsidR="00F2053B" w:rsidRPr="00EF6979" w:rsidRDefault="00F2053B" w:rsidP="00EF6979">
    <w:pPr>
      <w:spacing w:before="0"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334C" w14:textId="37B8A79B" w:rsidR="00F2053B" w:rsidRDefault="00F205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13611" w14:textId="4202ACF1" w:rsidR="00F2053B" w:rsidRDefault="00F2053B" w:rsidP="00BA1D4E">
    <w:pPr>
      <w:spacing w:after="0"/>
      <w:jc w:val="center"/>
    </w:pPr>
    <w:r>
      <w:t>Australian Government response t</w:t>
    </w:r>
    <w:r w:rsidR="00A53288">
      <w:t>o the Productivity Commission’s</w:t>
    </w:r>
  </w:p>
  <w:p w14:paraId="2134188C" w14:textId="42F2FE55" w:rsidR="00F2053B" w:rsidRPr="0084227C" w:rsidRDefault="00F2053B" w:rsidP="00A1479A">
    <w:pPr>
      <w:spacing w:before="0" w:after="0"/>
      <w:jc w:val="center"/>
    </w:pPr>
    <w:r w:rsidRPr="00A1479A">
      <w:rPr>
        <w:i/>
      </w:rPr>
      <w:t>Expenditure on Children in the Northern Territory</w:t>
    </w:r>
    <w:r>
      <w:rPr>
        <w:i/>
      </w:rPr>
      <w:t xml:space="preserve"> </w:t>
    </w:r>
    <w:r w:rsidRPr="00BA1D4E">
      <w:t>(</w:t>
    </w:r>
    <w:r w:rsidR="00A53288">
      <w:t xml:space="preserve">final report; </w:t>
    </w:r>
    <w:r w:rsidRPr="00BA1D4E">
      <w:t>2020)</w:t>
    </w:r>
    <w:r w:rsidRPr="00DF1E59">
      <w:rPr>
        <w:i/>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473D" w14:textId="3E5E037D" w:rsidR="00F2053B" w:rsidRPr="00EF6979" w:rsidRDefault="00F2053B" w:rsidP="009D6624">
    <w:pPr>
      <w:spacing w:after="0"/>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63CD" w14:textId="00534201" w:rsidR="00E11CA5" w:rsidRDefault="00E11CA5" w:rsidP="00EF6979">
    <w:pPr>
      <w:spacing w:after="0"/>
      <w:jc w:val="center"/>
    </w:pPr>
    <w:r>
      <w:t>Australian Government response to the Productivity Commission’s</w:t>
    </w:r>
  </w:p>
  <w:p w14:paraId="1E7160C7" w14:textId="3DE5BF79" w:rsidR="00E11CA5" w:rsidRPr="00EF6979" w:rsidRDefault="00E11CA5" w:rsidP="00EF6979">
    <w:pPr>
      <w:spacing w:before="0" w:after="0"/>
      <w:jc w:val="center"/>
    </w:pPr>
    <w:r w:rsidRPr="00A1479A">
      <w:rPr>
        <w:i/>
      </w:rPr>
      <w:t>Expenditure on Children in the Northern Territory</w:t>
    </w:r>
    <w:r>
      <w:rPr>
        <w:i/>
      </w:rPr>
      <w:t xml:space="preserve"> </w:t>
    </w:r>
    <w:r w:rsidRPr="00BA1D4E">
      <w:t>(</w:t>
    </w:r>
    <w:r>
      <w:t xml:space="preserve">final report; </w:t>
    </w:r>
    <w:r w:rsidRPr="00BA1D4E">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637"/>
    <w:multiLevelType w:val="hybridMultilevel"/>
    <w:tmpl w:val="FCAACEEC"/>
    <w:lvl w:ilvl="0" w:tplc="41141B36">
      <w:start w:val="1"/>
      <w:numFmt w:val="decimal"/>
      <w:lvlText w:val="%1."/>
      <w:lvlJc w:val="left"/>
      <w:pPr>
        <w:ind w:left="360" w:hanging="360"/>
      </w:pPr>
      <w:rPr>
        <w:b w:val="0"/>
        <w:color w:val="auto"/>
        <w:sz w:val="24"/>
        <w:szCs w:val="24"/>
      </w:rPr>
    </w:lvl>
    <w:lvl w:ilvl="1" w:tplc="0C090001">
      <w:start w:val="1"/>
      <w:numFmt w:val="bullet"/>
      <w:lvlText w:val=""/>
      <w:lvlJc w:val="left"/>
      <w:pPr>
        <w:ind w:left="-196" w:hanging="360"/>
      </w:pPr>
      <w:rPr>
        <w:rFonts w:ascii="Symbol" w:hAnsi="Symbol" w:hint="default"/>
      </w:rPr>
    </w:lvl>
    <w:lvl w:ilvl="2" w:tplc="0C090001">
      <w:start w:val="1"/>
      <w:numFmt w:val="bullet"/>
      <w:lvlText w:val=""/>
      <w:lvlJc w:val="left"/>
      <w:pPr>
        <w:ind w:left="524" w:hanging="180"/>
      </w:pPr>
      <w:rPr>
        <w:rFonts w:ascii="Symbol" w:hAnsi="Symbol" w:hint="default"/>
      </w:rPr>
    </w:lvl>
    <w:lvl w:ilvl="3" w:tplc="0C090001">
      <w:start w:val="1"/>
      <w:numFmt w:val="bullet"/>
      <w:lvlText w:val=""/>
      <w:lvlJc w:val="left"/>
      <w:pPr>
        <w:ind w:left="1244" w:hanging="360"/>
      </w:pPr>
      <w:rPr>
        <w:rFonts w:ascii="Symbol" w:hAnsi="Symbol" w:hint="default"/>
      </w:rPr>
    </w:lvl>
    <w:lvl w:ilvl="4" w:tplc="0C090019">
      <w:start w:val="1"/>
      <w:numFmt w:val="lowerLetter"/>
      <w:lvlText w:val="%5."/>
      <w:lvlJc w:val="left"/>
      <w:pPr>
        <w:ind w:left="1964" w:hanging="360"/>
      </w:pPr>
    </w:lvl>
    <w:lvl w:ilvl="5" w:tplc="0C09001B">
      <w:start w:val="1"/>
      <w:numFmt w:val="lowerRoman"/>
      <w:lvlText w:val="%6."/>
      <w:lvlJc w:val="right"/>
      <w:pPr>
        <w:ind w:left="2684" w:hanging="180"/>
      </w:pPr>
    </w:lvl>
    <w:lvl w:ilvl="6" w:tplc="0C09000F" w:tentative="1">
      <w:start w:val="1"/>
      <w:numFmt w:val="decimal"/>
      <w:lvlText w:val="%7."/>
      <w:lvlJc w:val="left"/>
      <w:pPr>
        <w:ind w:left="3404" w:hanging="360"/>
      </w:pPr>
    </w:lvl>
    <w:lvl w:ilvl="7" w:tplc="0C090019" w:tentative="1">
      <w:start w:val="1"/>
      <w:numFmt w:val="lowerLetter"/>
      <w:lvlText w:val="%8."/>
      <w:lvlJc w:val="left"/>
      <w:pPr>
        <w:ind w:left="4124" w:hanging="360"/>
      </w:pPr>
    </w:lvl>
    <w:lvl w:ilvl="8" w:tplc="0C09001B" w:tentative="1">
      <w:start w:val="1"/>
      <w:numFmt w:val="lowerRoman"/>
      <w:lvlText w:val="%9."/>
      <w:lvlJc w:val="right"/>
      <w:pPr>
        <w:ind w:left="4844" w:hanging="180"/>
      </w:pPr>
    </w:lvl>
  </w:abstractNum>
  <w:abstractNum w:abstractNumId="1" w15:restartNumberingAfterBreak="0">
    <w:nsid w:val="08C05179"/>
    <w:multiLevelType w:val="hybridMultilevel"/>
    <w:tmpl w:val="AE42A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3860D5"/>
    <w:multiLevelType w:val="hybridMultilevel"/>
    <w:tmpl w:val="387E8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A2B5C"/>
    <w:multiLevelType w:val="hybridMultilevel"/>
    <w:tmpl w:val="BF7C8476"/>
    <w:lvl w:ilvl="0" w:tplc="1A300726">
      <w:start w:val="1"/>
      <w:numFmt w:val="bullet"/>
      <w:pStyle w:val="TalkingPoint"/>
      <w:lvlText w:val=""/>
      <w:lvlJc w:val="left"/>
      <w:pPr>
        <w:ind w:left="360" w:hanging="360"/>
      </w:pPr>
      <w:rPr>
        <w:rFonts w:ascii="Symbol" w:hAnsi="Symbol" w:hint="default"/>
        <w:color w:val="auto"/>
        <w:sz w:val="28"/>
        <w:szCs w:val="28"/>
        <w:effect w:val="none"/>
      </w:rPr>
    </w:lvl>
    <w:lvl w:ilvl="1" w:tplc="886E71BE" w:tentative="1">
      <w:start w:val="1"/>
      <w:numFmt w:val="bullet"/>
      <w:lvlText w:val="o"/>
      <w:lvlJc w:val="left"/>
      <w:pPr>
        <w:ind w:left="1080" w:hanging="360"/>
      </w:pPr>
      <w:rPr>
        <w:rFonts w:ascii="Courier New" w:hAnsi="Courier New" w:cs="Courier New" w:hint="default"/>
      </w:rPr>
    </w:lvl>
    <w:lvl w:ilvl="2" w:tplc="0AA228A4" w:tentative="1">
      <w:start w:val="1"/>
      <w:numFmt w:val="bullet"/>
      <w:lvlText w:val=""/>
      <w:lvlJc w:val="left"/>
      <w:pPr>
        <w:ind w:left="1800" w:hanging="360"/>
      </w:pPr>
      <w:rPr>
        <w:rFonts w:ascii="Wingdings" w:hAnsi="Wingdings" w:hint="default"/>
      </w:rPr>
    </w:lvl>
    <w:lvl w:ilvl="3" w:tplc="A7700F66" w:tentative="1">
      <w:start w:val="1"/>
      <w:numFmt w:val="bullet"/>
      <w:lvlText w:val=""/>
      <w:lvlJc w:val="left"/>
      <w:pPr>
        <w:ind w:left="2520" w:hanging="360"/>
      </w:pPr>
      <w:rPr>
        <w:rFonts w:ascii="Symbol" w:hAnsi="Symbol" w:hint="default"/>
      </w:rPr>
    </w:lvl>
    <w:lvl w:ilvl="4" w:tplc="F804727A" w:tentative="1">
      <w:start w:val="1"/>
      <w:numFmt w:val="bullet"/>
      <w:lvlText w:val="o"/>
      <w:lvlJc w:val="left"/>
      <w:pPr>
        <w:ind w:left="3240" w:hanging="360"/>
      </w:pPr>
      <w:rPr>
        <w:rFonts w:ascii="Courier New" w:hAnsi="Courier New" w:cs="Courier New" w:hint="default"/>
      </w:rPr>
    </w:lvl>
    <w:lvl w:ilvl="5" w:tplc="21484E94" w:tentative="1">
      <w:start w:val="1"/>
      <w:numFmt w:val="bullet"/>
      <w:lvlText w:val=""/>
      <w:lvlJc w:val="left"/>
      <w:pPr>
        <w:ind w:left="3960" w:hanging="360"/>
      </w:pPr>
      <w:rPr>
        <w:rFonts w:ascii="Wingdings" w:hAnsi="Wingdings" w:hint="default"/>
      </w:rPr>
    </w:lvl>
    <w:lvl w:ilvl="6" w:tplc="DF6CB5A4" w:tentative="1">
      <w:start w:val="1"/>
      <w:numFmt w:val="bullet"/>
      <w:lvlText w:val=""/>
      <w:lvlJc w:val="left"/>
      <w:pPr>
        <w:ind w:left="4680" w:hanging="360"/>
      </w:pPr>
      <w:rPr>
        <w:rFonts w:ascii="Symbol" w:hAnsi="Symbol" w:hint="default"/>
      </w:rPr>
    </w:lvl>
    <w:lvl w:ilvl="7" w:tplc="EBAA8840" w:tentative="1">
      <w:start w:val="1"/>
      <w:numFmt w:val="bullet"/>
      <w:lvlText w:val="o"/>
      <w:lvlJc w:val="left"/>
      <w:pPr>
        <w:ind w:left="5400" w:hanging="360"/>
      </w:pPr>
      <w:rPr>
        <w:rFonts w:ascii="Courier New" w:hAnsi="Courier New" w:cs="Courier New" w:hint="default"/>
      </w:rPr>
    </w:lvl>
    <w:lvl w:ilvl="8" w:tplc="9EEC6146" w:tentative="1">
      <w:start w:val="1"/>
      <w:numFmt w:val="bullet"/>
      <w:lvlText w:val=""/>
      <w:lvlJc w:val="left"/>
      <w:pPr>
        <w:ind w:left="6120" w:hanging="360"/>
      </w:pPr>
      <w:rPr>
        <w:rFonts w:ascii="Wingdings" w:hAnsi="Wingdings" w:hint="default"/>
      </w:rPr>
    </w:lvl>
  </w:abstractNum>
  <w:abstractNum w:abstractNumId="5" w15:restartNumberingAfterBreak="0">
    <w:nsid w:val="1A887713"/>
    <w:multiLevelType w:val="hybridMultilevel"/>
    <w:tmpl w:val="E20A36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E13E4F"/>
    <w:multiLevelType w:val="hybridMultilevel"/>
    <w:tmpl w:val="2640D566"/>
    <w:lvl w:ilvl="0" w:tplc="41141B36">
      <w:start w:val="1"/>
      <w:numFmt w:val="decimal"/>
      <w:lvlText w:val="%1."/>
      <w:lvlJc w:val="left"/>
      <w:pPr>
        <w:ind w:left="360" w:hanging="360"/>
      </w:pPr>
      <w:rPr>
        <w:b w:val="0"/>
        <w:color w:val="auto"/>
        <w:sz w:val="24"/>
        <w:szCs w:val="24"/>
      </w:rPr>
    </w:lvl>
    <w:lvl w:ilvl="1" w:tplc="0C090001">
      <w:start w:val="1"/>
      <w:numFmt w:val="bullet"/>
      <w:lvlText w:val=""/>
      <w:lvlJc w:val="left"/>
      <w:pPr>
        <w:ind w:left="-196" w:hanging="360"/>
      </w:pPr>
      <w:rPr>
        <w:rFonts w:ascii="Symbol" w:hAnsi="Symbol" w:hint="default"/>
      </w:rPr>
    </w:lvl>
    <w:lvl w:ilvl="2" w:tplc="0C090001">
      <w:start w:val="1"/>
      <w:numFmt w:val="bullet"/>
      <w:lvlText w:val=""/>
      <w:lvlJc w:val="left"/>
      <w:pPr>
        <w:ind w:left="524" w:hanging="180"/>
      </w:pPr>
      <w:rPr>
        <w:rFonts w:ascii="Symbol" w:hAnsi="Symbol" w:hint="default"/>
      </w:rPr>
    </w:lvl>
    <w:lvl w:ilvl="3" w:tplc="0C090001">
      <w:start w:val="1"/>
      <w:numFmt w:val="bullet"/>
      <w:lvlText w:val=""/>
      <w:lvlJc w:val="left"/>
      <w:pPr>
        <w:ind w:left="1244" w:hanging="360"/>
      </w:pPr>
      <w:rPr>
        <w:rFonts w:ascii="Symbol" w:hAnsi="Symbol" w:hint="default"/>
      </w:rPr>
    </w:lvl>
    <w:lvl w:ilvl="4" w:tplc="0C090019">
      <w:start w:val="1"/>
      <w:numFmt w:val="lowerLetter"/>
      <w:lvlText w:val="%5."/>
      <w:lvlJc w:val="left"/>
      <w:pPr>
        <w:ind w:left="1964" w:hanging="360"/>
      </w:pPr>
    </w:lvl>
    <w:lvl w:ilvl="5" w:tplc="0C09001B">
      <w:start w:val="1"/>
      <w:numFmt w:val="lowerRoman"/>
      <w:lvlText w:val="%6."/>
      <w:lvlJc w:val="right"/>
      <w:pPr>
        <w:ind w:left="2684" w:hanging="180"/>
      </w:pPr>
    </w:lvl>
    <w:lvl w:ilvl="6" w:tplc="0C09000F" w:tentative="1">
      <w:start w:val="1"/>
      <w:numFmt w:val="decimal"/>
      <w:lvlText w:val="%7."/>
      <w:lvlJc w:val="left"/>
      <w:pPr>
        <w:ind w:left="3404" w:hanging="360"/>
      </w:pPr>
    </w:lvl>
    <w:lvl w:ilvl="7" w:tplc="0C090019" w:tentative="1">
      <w:start w:val="1"/>
      <w:numFmt w:val="lowerLetter"/>
      <w:lvlText w:val="%8."/>
      <w:lvlJc w:val="left"/>
      <w:pPr>
        <w:ind w:left="4124" w:hanging="360"/>
      </w:pPr>
    </w:lvl>
    <w:lvl w:ilvl="8" w:tplc="0C09001B" w:tentative="1">
      <w:start w:val="1"/>
      <w:numFmt w:val="lowerRoman"/>
      <w:lvlText w:val="%9."/>
      <w:lvlJc w:val="right"/>
      <w:pPr>
        <w:ind w:left="4844" w:hanging="180"/>
      </w:pPr>
    </w:lvl>
  </w:abstractNum>
  <w:abstractNum w:abstractNumId="7" w15:restartNumberingAfterBreak="0">
    <w:nsid w:val="29DE7259"/>
    <w:multiLevelType w:val="hybridMultilevel"/>
    <w:tmpl w:val="FE98B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133AD0"/>
    <w:multiLevelType w:val="hybridMultilevel"/>
    <w:tmpl w:val="44B0902E"/>
    <w:lvl w:ilvl="0" w:tplc="BE1CB09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2594C"/>
    <w:multiLevelType w:val="hybridMultilevel"/>
    <w:tmpl w:val="02C6A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FE6207"/>
    <w:multiLevelType w:val="hybridMultilevel"/>
    <w:tmpl w:val="491C2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3B0797"/>
    <w:multiLevelType w:val="hybridMultilevel"/>
    <w:tmpl w:val="BDB8B1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46C337C"/>
    <w:multiLevelType w:val="hybridMultilevel"/>
    <w:tmpl w:val="C93CB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CD35E9"/>
    <w:multiLevelType w:val="hybridMultilevel"/>
    <w:tmpl w:val="B08EA98A"/>
    <w:lvl w:ilvl="0" w:tplc="41141B36">
      <w:start w:val="1"/>
      <w:numFmt w:val="decimal"/>
      <w:lvlText w:val="%1."/>
      <w:lvlJc w:val="left"/>
      <w:pPr>
        <w:ind w:left="360" w:hanging="360"/>
      </w:pPr>
      <w:rPr>
        <w:b w:val="0"/>
        <w:color w:val="auto"/>
        <w:sz w:val="24"/>
        <w:szCs w:val="24"/>
      </w:rPr>
    </w:lvl>
    <w:lvl w:ilvl="1" w:tplc="0C090001">
      <w:start w:val="1"/>
      <w:numFmt w:val="bullet"/>
      <w:lvlText w:val=""/>
      <w:lvlJc w:val="left"/>
      <w:pPr>
        <w:ind w:left="-196" w:hanging="360"/>
      </w:pPr>
      <w:rPr>
        <w:rFonts w:ascii="Symbol" w:hAnsi="Symbol" w:hint="default"/>
      </w:rPr>
    </w:lvl>
    <w:lvl w:ilvl="2" w:tplc="0C090001">
      <w:start w:val="1"/>
      <w:numFmt w:val="bullet"/>
      <w:lvlText w:val=""/>
      <w:lvlJc w:val="left"/>
      <w:pPr>
        <w:ind w:left="524" w:hanging="180"/>
      </w:pPr>
      <w:rPr>
        <w:rFonts w:ascii="Symbol" w:hAnsi="Symbol" w:hint="default"/>
      </w:rPr>
    </w:lvl>
    <w:lvl w:ilvl="3" w:tplc="0C090001">
      <w:start w:val="1"/>
      <w:numFmt w:val="bullet"/>
      <w:lvlText w:val=""/>
      <w:lvlJc w:val="left"/>
      <w:pPr>
        <w:ind w:left="1244" w:hanging="360"/>
      </w:pPr>
      <w:rPr>
        <w:rFonts w:ascii="Symbol" w:hAnsi="Symbol" w:hint="default"/>
      </w:rPr>
    </w:lvl>
    <w:lvl w:ilvl="4" w:tplc="0C090001">
      <w:start w:val="1"/>
      <w:numFmt w:val="bullet"/>
      <w:lvlText w:val=""/>
      <w:lvlJc w:val="left"/>
      <w:pPr>
        <w:ind w:left="1964" w:hanging="360"/>
      </w:pPr>
      <w:rPr>
        <w:rFonts w:ascii="Symbol" w:hAnsi="Symbol" w:hint="default"/>
      </w:rPr>
    </w:lvl>
    <w:lvl w:ilvl="5" w:tplc="0C09001B">
      <w:start w:val="1"/>
      <w:numFmt w:val="lowerRoman"/>
      <w:lvlText w:val="%6."/>
      <w:lvlJc w:val="right"/>
      <w:pPr>
        <w:ind w:left="2684" w:hanging="180"/>
      </w:pPr>
    </w:lvl>
    <w:lvl w:ilvl="6" w:tplc="0C09000F" w:tentative="1">
      <w:start w:val="1"/>
      <w:numFmt w:val="decimal"/>
      <w:lvlText w:val="%7."/>
      <w:lvlJc w:val="left"/>
      <w:pPr>
        <w:ind w:left="3404" w:hanging="360"/>
      </w:pPr>
    </w:lvl>
    <w:lvl w:ilvl="7" w:tplc="0C090019" w:tentative="1">
      <w:start w:val="1"/>
      <w:numFmt w:val="lowerLetter"/>
      <w:lvlText w:val="%8."/>
      <w:lvlJc w:val="left"/>
      <w:pPr>
        <w:ind w:left="4124" w:hanging="360"/>
      </w:pPr>
    </w:lvl>
    <w:lvl w:ilvl="8" w:tplc="0C09001B" w:tentative="1">
      <w:start w:val="1"/>
      <w:numFmt w:val="lowerRoman"/>
      <w:lvlText w:val="%9."/>
      <w:lvlJc w:val="right"/>
      <w:pPr>
        <w:ind w:left="4844" w:hanging="180"/>
      </w:pPr>
    </w:lvl>
  </w:abstractNum>
  <w:abstractNum w:abstractNumId="14" w15:restartNumberingAfterBreak="0">
    <w:nsid w:val="704D07B8"/>
    <w:multiLevelType w:val="hybridMultilevel"/>
    <w:tmpl w:val="9BFCA472"/>
    <w:lvl w:ilvl="0" w:tplc="41141B36">
      <w:start w:val="1"/>
      <w:numFmt w:val="decimal"/>
      <w:lvlText w:val="%1."/>
      <w:lvlJc w:val="left"/>
      <w:pPr>
        <w:ind w:left="360" w:hanging="360"/>
      </w:pPr>
      <w:rPr>
        <w:b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3436EC"/>
    <w:multiLevelType w:val="multilevel"/>
    <w:tmpl w:val="848C673C"/>
    <w:lvl w:ilvl="0">
      <w:start w:val="1"/>
      <w:numFmt w:val="decimal"/>
      <w:lvlText w:val="%1."/>
      <w:lvlJc w:val="left"/>
      <w:pPr>
        <w:ind w:left="680" w:hanging="340"/>
      </w:pPr>
      <w:rPr>
        <w:rFonts w:hint="default"/>
      </w:rPr>
    </w:lvl>
    <w:lvl w:ilvl="1">
      <w:start w:val="1"/>
      <w:numFmt w:val="bullet"/>
      <w:lvlText w:val=""/>
      <w:lvlJc w:val="left"/>
      <w:pPr>
        <w:ind w:left="1361" w:hanging="340"/>
      </w:pPr>
      <w:rPr>
        <w:rFonts w:ascii="Symbol" w:hAnsi="Symbol"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0"/>
  </w:num>
  <w:num w:numId="3">
    <w:abstractNumId w:val="4"/>
  </w:num>
  <w:num w:numId="4">
    <w:abstractNumId w:val="13"/>
  </w:num>
  <w:num w:numId="5">
    <w:abstractNumId w:val="6"/>
  </w:num>
  <w:num w:numId="6">
    <w:abstractNumId w:val="11"/>
  </w:num>
  <w:num w:numId="7">
    <w:abstractNumId w:val="7"/>
  </w:num>
  <w:num w:numId="8">
    <w:abstractNumId w:val="15"/>
  </w:num>
  <w:num w:numId="9">
    <w:abstractNumId w:val="9"/>
  </w:num>
  <w:num w:numId="10">
    <w:abstractNumId w:val="8"/>
  </w:num>
  <w:num w:numId="11">
    <w:abstractNumId w:val="10"/>
  </w:num>
  <w:num w:numId="12">
    <w:abstractNumId w:val="5"/>
  </w:num>
  <w:num w:numId="13">
    <w:abstractNumId w:val="2"/>
  </w:num>
  <w:num w:numId="14">
    <w:abstractNumId w:val="2"/>
  </w:num>
  <w:num w:numId="15">
    <w:abstractNumId w:val="1"/>
  </w:num>
  <w:num w:numId="16">
    <w:abstractNumId w:val="12"/>
  </w:num>
  <w:num w:numId="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DD"/>
    <w:rsid w:val="0000150E"/>
    <w:rsid w:val="00002934"/>
    <w:rsid w:val="000051D5"/>
    <w:rsid w:val="000104A8"/>
    <w:rsid w:val="000114E7"/>
    <w:rsid w:val="00011662"/>
    <w:rsid w:val="00011FA3"/>
    <w:rsid w:val="0001356E"/>
    <w:rsid w:val="000140B8"/>
    <w:rsid w:val="00014599"/>
    <w:rsid w:val="0001584A"/>
    <w:rsid w:val="000233A7"/>
    <w:rsid w:val="0002454D"/>
    <w:rsid w:val="00024AE5"/>
    <w:rsid w:val="00024F7A"/>
    <w:rsid w:val="000267A4"/>
    <w:rsid w:val="0002773E"/>
    <w:rsid w:val="000322EC"/>
    <w:rsid w:val="00033035"/>
    <w:rsid w:val="00036621"/>
    <w:rsid w:val="00036DA7"/>
    <w:rsid w:val="0004726E"/>
    <w:rsid w:val="0005079B"/>
    <w:rsid w:val="00052148"/>
    <w:rsid w:val="00052E98"/>
    <w:rsid w:val="00053189"/>
    <w:rsid w:val="0005529C"/>
    <w:rsid w:val="0006291A"/>
    <w:rsid w:val="0006381C"/>
    <w:rsid w:val="00065BE9"/>
    <w:rsid w:val="00065C12"/>
    <w:rsid w:val="00065CDB"/>
    <w:rsid w:val="00066D6C"/>
    <w:rsid w:val="0007120A"/>
    <w:rsid w:val="00071B75"/>
    <w:rsid w:val="00073A9F"/>
    <w:rsid w:val="00075EC0"/>
    <w:rsid w:val="00080265"/>
    <w:rsid w:val="00081610"/>
    <w:rsid w:val="00087B00"/>
    <w:rsid w:val="00092AD2"/>
    <w:rsid w:val="00092C5B"/>
    <w:rsid w:val="00094C01"/>
    <w:rsid w:val="00095683"/>
    <w:rsid w:val="00096E71"/>
    <w:rsid w:val="00096EDB"/>
    <w:rsid w:val="000A60D2"/>
    <w:rsid w:val="000A7F14"/>
    <w:rsid w:val="000B41B2"/>
    <w:rsid w:val="000B45E3"/>
    <w:rsid w:val="000B4ADB"/>
    <w:rsid w:val="000B78BA"/>
    <w:rsid w:val="000C0B38"/>
    <w:rsid w:val="000C138D"/>
    <w:rsid w:val="000C1FD7"/>
    <w:rsid w:val="000C7237"/>
    <w:rsid w:val="000C734B"/>
    <w:rsid w:val="000C7A56"/>
    <w:rsid w:val="000D34BB"/>
    <w:rsid w:val="000D3FA6"/>
    <w:rsid w:val="000D7078"/>
    <w:rsid w:val="000D70FB"/>
    <w:rsid w:val="000D7499"/>
    <w:rsid w:val="000E1334"/>
    <w:rsid w:val="000E3F85"/>
    <w:rsid w:val="000E6565"/>
    <w:rsid w:val="000E771D"/>
    <w:rsid w:val="000F1535"/>
    <w:rsid w:val="000F209F"/>
    <w:rsid w:val="000F20C1"/>
    <w:rsid w:val="000F3A16"/>
    <w:rsid w:val="000F423F"/>
    <w:rsid w:val="000F520B"/>
    <w:rsid w:val="000F5D53"/>
    <w:rsid w:val="000F5F72"/>
    <w:rsid w:val="000F74F3"/>
    <w:rsid w:val="00100599"/>
    <w:rsid w:val="00101CAE"/>
    <w:rsid w:val="0010580B"/>
    <w:rsid w:val="00106C4B"/>
    <w:rsid w:val="00110134"/>
    <w:rsid w:val="0011021F"/>
    <w:rsid w:val="00113622"/>
    <w:rsid w:val="001137FC"/>
    <w:rsid w:val="00114F82"/>
    <w:rsid w:val="00117DA8"/>
    <w:rsid w:val="00117FAE"/>
    <w:rsid w:val="00122E9E"/>
    <w:rsid w:val="001234A9"/>
    <w:rsid w:val="001248EC"/>
    <w:rsid w:val="00124CE1"/>
    <w:rsid w:val="00125133"/>
    <w:rsid w:val="00131BC5"/>
    <w:rsid w:val="00132BB5"/>
    <w:rsid w:val="00132DAE"/>
    <w:rsid w:val="00135C5F"/>
    <w:rsid w:val="0013633F"/>
    <w:rsid w:val="00136677"/>
    <w:rsid w:val="001375AC"/>
    <w:rsid w:val="001375B8"/>
    <w:rsid w:val="001376AF"/>
    <w:rsid w:val="00140473"/>
    <w:rsid w:val="00140A53"/>
    <w:rsid w:val="001411A3"/>
    <w:rsid w:val="00142AEB"/>
    <w:rsid w:val="00144215"/>
    <w:rsid w:val="001510D7"/>
    <w:rsid w:val="00151FB4"/>
    <w:rsid w:val="001522DB"/>
    <w:rsid w:val="00154536"/>
    <w:rsid w:val="0015571C"/>
    <w:rsid w:val="00174077"/>
    <w:rsid w:val="00183926"/>
    <w:rsid w:val="00185468"/>
    <w:rsid w:val="0018605B"/>
    <w:rsid w:val="00186301"/>
    <w:rsid w:val="00187576"/>
    <w:rsid w:val="00190612"/>
    <w:rsid w:val="0019163C"/>
    <w:rsid w:val="001965FE"/>
    <w:rsid w:val="001A030A"/>
    <w:rsid w:val="001A5207"/>
    <w:rsid w:val="001A7461"/>
    <w:rsid w:val="001A7F34"/>
    <w:rsid w:val="001B0066"/>
    <w:rsid w:val="001B284C"/>
    <w:rsid w:val="001B4277"/>
    <w:rsid w:val="001B5E8E"/>
    <w:rsid w:val="001B649D"/>
    <w:rsid w:val="001B6966"/>
    <w:rsid w:val="001B764B"/>
    <w:rsid w:val="001C3422"/>
    <w:rsid w:val="001C44B6"/>
    <w:rsid w:val="001C6F3D"/>
    <w:rsid w:val="001C7868"/>
    <w:rsid w:val="001D2323"/>
    <w:rsid w:val="001D282F"/>
    <w:rsid w:val="001D3FA0"/>
    <w:rsid w:val="001E0640"/>
    <w:rsid w:val="001E2534"/>
    <w:rsid w:val="001E3635"/>
    <w:rsid w:val="001E630D"/>
    <w:rsid w:val="001E6F02"/>
    <w:rsid w:val="001F10D3"/>
    <w:rsid w:val="001F11E6"/>
    <w:rsid w:val="001F45B0"/>
    <w:rsid w:val="001F4894"/>
    <w:rsid w:val="001F512D"/>
    <w:rsid w:val="001F5F2C"/>
    <w:rsid w:val="001F717F"/>
    <w:rsid w:val="001F7468"/>
    <w:rsid w:val="00203555"/>
    <w:rsid w:val="00203B42"/>
    <w:rsid w:val="002053C4"/>
    <w:rsid w:val="0021145D"/>
    <w:rsid w:val="00211DCD"/>
    <w:rsid w:val="00212B2C"/>
    <w:rsid w:val="002157AB"/>
    <w:rsid w:val="00216BF6"/>
    <w:rsid w:val="00217C78"/>
    <w:rsid w:val="0022005D"/>
    <w:rsid w:val="00224A78"/>
    <w:rsid w:val="00233C91"/>
    <w:rsid w:val="00234CA8"/>
    <w:rsid w:val="002356C8"/>
    <w:rsid w:val="00235E63"/>
    <w:rsid w:val="00236881"/>
    <w:rsid w:val="00236A71"/>
    <w:rsid w:val="002374AD"/>
    <w:rsid w:val="0024039A"/>
    <w:rsid w:val="002434C7"/>
    <w:rsid w:val="00243CED"/>
    <w:rsid w:val="00246E92"/>
    <w:rsid w:val="00247126"/>
    <w:rsid w:val="002514CC"/>
    <w:rsid w:val="00251F66"/>
    <w:rsid w:val="00253624"/>
    <w:rsid w:val="00253A71"/>
    <w:rsid w:val="00260C0E"/>
    <w:rsid w:val="002636F7"/>
    <w:rsid w:val="002659EC"/>
    <w:rsid w:val="0027020E"/>
    <w:rsid w:val="00270D3D"/>
    <w:rsid w:val="00273606"/>
    <w:rsid w:val="00273B82"/>
    <w:rsid w:val="002760E1"/>
    <w:rsid w:val="00276264"/>
    <w:rsid w:val="00280609"/>
    <w:rsid w:val="00281DFB"/>
    <w:rsid w:val="00282617"/>
    <w:rsid w:val="00284439"/>
    <w:rsid w:val="00292940"/>
    <w:rsid w:val="0029294A"/>
    <w:rsid w:val="00293EE6"/>
    <w:rsid w:val="00297079"/>
    <w:rsid w:val="00297BFE"/>
    <w:rsid w:val="00297C6B"/>
    <w:rsid w:val="002A0A84"/>
    <w:rsid w:val="002A0F63"/>
    <w:rsid w:val="002A3B1A"/>
    <w:rsid w:val="002A67B2"/>
    <w:rsid w:val="002A6BA7"/>
    <w:rsid w:val="002A70BD"/>
    <w:rsid w:val="002B0D1A"/>
    <w:rsid w:val="002B1D50"/>
    <w:rsid w:val="002B3CC6"/>
    <w:rsid w:val="002C0323"/>
    <w:rsid w:val="002C0397"/>
    <w:rsid w:val="002C073C"/>
    <w:rsid w:val="002C1041"/>
    <w:rsid w:val="002C3A7F"/>
    <w:rsid w:val="002C5B48"/>
    <w:rsid w:val="002C7E53"/>
    <w:rsid w:val="002D040C"/>
    <w:rsid w:val="002D1A50"/>
    <w:rsid w:val="002D1FF9"/>
    <w:rsid w:val="002D235C"/>
    <w:rsid w:val="002D4734"/>
    <w:rsid w:val="002D4846"/>
    <w:rsid w:val="002E01BA"/>
    <w:rsid w:val="002E25D1"/>
    <w:rsid w:val="002E2C40"/>
    <w:rsid w:val="002E4272"/>
    <w:rsid w:val="002E4AC1"/>
    <w:rsid w:val="002E4BCC"/>
    <w:rsid w:val="002E5872"/>
    <w:rsid w:val="002E6D5E"/>
    <w:rsid w:val="002E7151"/>
    <w:rsid w:val="002F1FC3"/>
    <w:rsid w:val="002F357E"/>
    <w:rsid w:val="002F43D9"/>
    <w:rsid w:val="002F5170"/>
    <w:rsid w:val="00301A74"/>
    <w:rsid w:val="00302020"/>
    <w:rsid w:val="003021AE"/>
    <w:rsid w:val="003031E4"/>
    <w:rsid w:val="0030628C"/>
    <w:rsid w:val="0030781D"/>
    <w:rsid w:val="00307F30"/>
    <w:rsid w:val="00311FC7"/>
    <w:rsid w:val="00312F3C"/>
    <w:rsid w:val="00312FDF"/>
    <w:rsid w:val="003171A3"/>
    <w:rsid w:val="003174CD"/>
    <w:rsid w:val="003244F8"/>
    <w:rsid w:val="00324B05"/>
    <w:rsid w:val="00324B80"/>
    <w:rsid w:val="003258D7"/>
    <w:rsid w:val="00325B13"/>
    <w:rsid w:val="00326170"/>
    <w:rsid w:val="00330E2C"/>
    <w:rsid w:val="0033487F"/>
    <w:rsid w:val="00334D8F"/>
    <w:rsid w:val="00334DFC"/>
    <w:rsid w:val="00334E89"/>
    <w:rsid w:val="00347FA8"/>
    <w:rsid w:val="003544E4"/>
    <w:rsid w:val="00354F34"/>
    <w:rsid w:val="003555D6"/>
    <w:rsid w:val="00357263"/>
    <w:rsid w:val="00363759"/>
    <w:rsid w:val="003639D0"/>
    <w:rsid w:val="003641AD"/>
    <w:rsid w:val="00365D20"/>
    <w:rsid w:val="00366164"/>
    <w:rsid w:val="00367628"/>
    <w:rsid w:val="003703E2"/>
    <w:rsid w:val="00371DE0"/>
    <w:rsid w:val="0037206D"/>
    <w:rsid w:val="00372542"/>
    <w:rsid w:val="003762B2"/>
    <w:rsid w:val="00376547"/>
    <w:rsid w:val="0038044C"/>
    <w:rsid w:val="003824F7"/>
    <w:rsid w:val="00382BC3"/>
    <w:rsid w:val="00386B32"/>
    <w:rsid w:val="00386BEE"/>
    <w:rsid w:val="003913B8"/>
    <w:rsid w:val="0039477C"/>
    <w:rsid w:val="00395036"/>
    <w:rsid w:val="0039517C"/>
    <w:rsid w:val="0039531E"/>
    <w:rsid w:val="00395D81"/>
    <w:rsid w:val="00396720"/>
    <w:rsid w:val="003968AF"/>
    <w:rsid w:val="00396975"/>
    <w:rsid w:val="00396C00"/>
    <w:rsid w:val="003A0098"/>
    <w:rsid w:val="003A40A2"/>
    <w:rsid w:val="003A5C37"/>
    <w:rsid w:val="003A6246"/>
    <w:rsid w:val="003A67A4"/>
    <w:rsid w:val="003B2BB8"/>
    <w:rsid w:val="003C190A"/>
    <w:rsid w:val="003C1B9C"/>
    <w:rsid w:val="003C3C59"/>
    <w:rsid w:val="003C5057"/>
    <w:rsid w:val="003C77CE"/>
    <w:rsid w:val="003D290E"/>
    <w:rsid w:val="003D2FFB"/>
    <w:rsid w:val="003D34FF"/>
    <w:rsid w:val="003D3720"/>
    <w:rsid w:val="003D5E5F"/>
    <w:rsid w:val="003D6E67"/>
    <w:rsid w:val="003E2B62"/>
    <w:rsid w:val="003E3A36"/>
    <w:rsid w:val="003E428B"/>
    <w:rsid w:val="003E5E64"/>
    <w:rsid w:val="003E7B53"/>
    <w:rsid w:val="003E7D22"/>
    <w:rsid w:val="003F187A"/>
    <w:rsid w:val="003F189B"/>
    <w:rsid w:val="003F2AE5"/>
    <w:rsid w:val="003F38E2"/>
    <w:rsid w:val="003F3ADD"/>
    <w:rsid w:val="003F5C08"/>
    <w:rsid w:val="003F6089"/>
    <w:rsid w:val="003F7A2D"/>
    <w:rsid w:val="004000D2"/>
    <w:rsid w:val="00401D60"/>
    <w:rsid w:val="004024FC"/>
    <w:rsid w:val="00402627"/>
    <w:rsid w:val="004030FE"/>
    <w:rsid w:val="0040383A"/>
    <w:rsid w:val="004048F1"/>
    <w:rsid w:val="00410ACF"/>
    <w:rsid w:val="00411DDF"/>
    <w:rsid w:val="004130BC"/>
    <w:rsid w:val="00415125"/>
    <w:rsid w:val="00415F9B"/>
    <w:rsid w:val="0042118D"/>
    <w:rsid w:val="0042201F"/>
    <w:rsid w:val="00423BE4"/>
    <w:rsid w:val="00424A76"/>
    <w:rsid w:val="00424AB7"/>
    <w:rsid w:val="0042603B"/>
    <w:rsid w:val="004278B6"/>
    <w:rsid w:val="00427BEE"/>
    <w:rsid w:val="004339BD"/>
    <w:rsid w:val="004374E9"/>
    <w:rsid w:val="00440CB8"/>
    <w:rsid w:val="004420DD"/>
    <w:rsid w:val="00442BCE"/>
    <w:rsid w:val="004437E3"/>
    <w:rsid w:val="004457B0"/>
    <w:rsid w:val="00446E73"/>
    <w:rsid w:val="00446FD9"/>
    <w:rsid w:val="00447D5C"/>
    <w:rsid w:val="00455457"/>
    <w:rsid w:val="00455ACD"/>
    <w:rsid w:val="00461BA1"/>
    <w:rsid w:val="00462B57"/>
    <w:rsid w:val="0046425B"/>
    <w:rsid w:val="00464CBC"/>
    <w:rsid w:val="00464D30"/>
    <w:rsid w:val="004654C7"/>
    <w:rsid w:val="004670BE"/>
    <w:rsid w:val="00470FE4"/>
    <w:rsid w:val="004712A4"/>
    <w:rsid w:val="00472C12"/>
    <w:rsid w:val="004738CD"/>
    <w:rsid w:val="00473F93"/>
    <w:rsid w:val="004837B0"/>
    <w:rsid w:val="00485B82"/>
    <w:rsid w:val="00487929"/>
    <w:rsid w:val="0049440C"/>
    <w:rsid w:val="00494549"/>
    <w:rsid w:val="004A0AC5"/>
    <w:rsid w:val="004A0FB5"/>
    <w:rsid w:val="004A1A14"/>
    <w:rsid w:val="004A2768"/>
    <w:rsid w:val="004A2AA3"/>
    <w:rsid w:val="004A3F0E"/>
    <w:rsid w:val="004A4F68"/>
    <w:rsid w:val="004A60C5"/>
    <w:rsid w:val="004B1428"/>
    <w:rsid w:val="004B1954"/>
    <w:rsid w:val="004B3F4B"/>
    <w:rsid w:val="004B54CA"/>
    <w:rsid w:val="004B7A36"/>
    <w:rsid w:val="004B7E6D"/>
    <w:rsid w:val="004C4111"/>
    <w:rsid w:val="004C656F"/>
    <w:rsid w:val="004D4FA1"/>
    <w:rsid w:val="004D5EDD"/>
    <w:rsid w:val="004E0D78"/>
    <w:rsid w:val="004E1CB4"/>
    <w:rsid w:val="004E5CBF"/>
    <w:rsid w:val="004E730E"/>
    <w:rsid w:val="004F2AF3"/>
    <w:rsid w:val="004F2B47"/>
    <w:rsid w:val="004F325B"/>
    <w:rsid w:val="004F5FA0"/>
    <w:rsid w:val="004F67B0"/>
    <w:rsid w:val="004F7751"/>
    <w:rsid w:val="004F77F4"/>
    <w:rsid w:val="0050273B"/>
    <w:rsid w:val="00502AE3"/>
    <w:rsid w:val="005039FF"/>
    <w:rsid w:val="00513138"/>
    <w:rsid w:val="00515B66"/>
    <w:rsid w:val="00517AE4"/>
    <w:rsid w:val="00521319"/>
    <w:rsid w:val="00522FBF"/>
    <w:rsid w:val="00525FCC"/>
    <w:rsid w:val="005263AF"/>
    <w:rsid w:val="00526821"/>
    <w:rsid w:val="00531E4F"/>
    <w:rsid w:val="00532F24"/>
    <w:rsid w:val="00533D55"/>
    <w:rsid w:val="0053414D"/>
    <w:rsid w:val="00537444"/>
    <w:rsid w:val="005376CA"/>
    <w:rsid w:val="00540FE9"/>
    <w:rsid w:val="00542BAF"/>
    <w:rsid w:val="005440AC"/>
    <w:rsid w:val="0054453B"/>
    <w:rsid w:val="005450DF"/>
    <w:rsid w:val="005452EB"/>
    <w:rsid w:val="00545CA1"/>
    <w:rsid w:val="0054713E"/>
    <w:rsid w:val="0055389C"/>
    <w:rsid w:val="00560D6B"/>
    <w:rsid w:val="0056118E"/>
    <w:rsid w:val="00562C8C"/>
    <w:rsid w:val="00566054"/>
    <w:rsid w:val="00567053"/>
    <w:rsid w:val="005670A3"/>
    <w:rsid w:val="0056743A"/>
    <w:rsid w:val="0056788C"/>
    <w:rsid w:val="00567BBD"/>
    <w:rsid w:val="00571079"/>
    <w:rsid w:val="00574B49"/>
    <w:rsid w:val="00576558"/>
    <w:rsid w:val="00576CDE"/>
    <w:rsid w:val="00577EBC"/>
    <w:rsid w:val="00581D42"/>
    <w:rsid w:val="005820A7"/>
    <w:rsid w:val="005825D4"/>
    <w:rsid w:val="005836ED"/>
    <w:rsid w:val="00584FC1"/>
    <w:rsid w:val="00585600"/>
    <w:rsid w:val="00586246"/>
    <w:rsid w:val="00586340"/>
    <w:rsid w:val="00587085"/>
    <w:rsid w:val="005877DC"/>
    <w:rsid w:val="00590458"/>
    <w:rsid w:val="00590B7A"/>
    <w:rsid w:val="0059102A"/>
    <w:rsid w:val="00591124"/>
    <w:rsid w:val="00595513"/>
    <w:rsid w:val="00597363"/>
    <w:rsid w:val="005A56A4"/>
    <w:rsid w:val="005A75E0"/>
    <w:rsid w:val="005B0FE7"/>
    <w:rsid w:val="005B1092"/>
    <w:rsid w:val="005B1B38"/>
    <w:rsid w:val="005B214E"/>
    <w:rsid w:val="005B2672"/>
    <w:rsid w:val="005B2DFD"/>
    <w:rsid w:val="005B6172"/>
    <w:rsid w:val="005C0B3A"/>
    <w:rsid w:val="005C3AA9"/>
    <w:rsid w:val="005C4D08"/>
    <w:rsid w:val="005C50D0"/>
    <w:rsid w:val="005C764A"/>
    <w:rsid w:val="005D04EB"/>
    <w:rsid w:val="005D0BFC"/>
    <w:rsid w:val="005D2F51"/>
    <w:rsid w:val="005D37EC"/>
    <w:rsid w:val="005D526F"/>
    <w:rsid w:val="005E0F1C"/>
    <w:rsid w:val="005E1669"/>
    <w:rsid w:val="005E1C69"/>
    <w:rsid w:val="005E4117"/>
    <w:rsid w:val="005E5E02"/>
    <w:rsid w:val="005F0B85"/>
    <w:rsid w:val="005F1CC7"/>
    <w:rsid w:val="005F2687"/>
    <w:rsid w:val="005F6294"/>
    <w:rsid w:val="00606850"/>
    <w:rsid w:val="00607310"/>
    <w:rsid w:val="006076FF"/>
    <w:rsid w:val="0060791C"/>
    <w:rsid w:val="00612933"/>
    <w:rsid w:val="00613BAE"/>
    <w:rsid w:val="00616725"/>
    <w:rsid w:val="00617E8E"/>
    <w:rsid w:val="00621A0D"/>
    <w:rsid w:val="0062226F"/>
    <w:rsid w:val="0063125E"/>
    <w:rsid w:val="006315AB"/>
    <w:rsid w:val="006315F9"/>
    <w:rsid w:val="006327A6"/>
    <w:rsid w:val="00632E1D"/>
    <w:rsid w:val="00635965"/>
    <w:rsid w:val="00637D1F"/>
    <w:rsid w:val="00641EA5"/>
    <w:rsid w:val="0064312E"/>
    <w:rsid w:val="00644A65"/>
    <w:rsid w:val="0064507E"/>
    <w:rsid w:val="0064638D"/>
    <w:rsid w:val="00653F9E"/>
    <w:rsid w:val="00656F11"/>
    <w:rsid w:val="006603A5"/>
    <w:rsid w:val="00660E3F"/>
    <w:rsid w:val="0066473C"/>
    <w:rsid w:val="00665BAA"/>
    <w:rsid w:val="00666DB6"/>
    <w:rsid w:val="0067113A"/>
    <w:rsid w:val="00671D1F"/>
    <w:rsid w:val="00672E52"/>
    <w:rsid w:val="006768F3"/>
    <w:rsid w:val="00682F9C"/>
    <w:rsid w:val="006850B0"/>
    <w:rsid w:val="00694959"/>
    <w:rsid w:val="00694F1B"/>
    <w:rsid w:val="00695CD4"/>
    <w:rsid w:val="006A07A3"/>
    <w:rsid w:val="006A3D80"/>
    <w:rsid w:val="006A4CE7"/>
    <w:rsid w:val="006A6407"/>
    <w:rsid w:val="006B22D2"/>
    <w:rsid w:val="006B272C"/>
    <w:rsid w:val="006B2D62"/>
    <w:rsid w:val="006B5FC3"/>
    <w:rsid w:val="006B7873"/>
    <w:rsid w:val="006C2E1D"/>
    <w:rsid w:val="006C3185"/>
    <w:rsid w:val="006C486E"/>
    <w:rsid w:val="006C4AFB"/>
    <w:rsid w:val="006C5EBE"/>
    <w:rsid w:val="006D2098"/>
    <w:rsid w:val="006D4460"/>
    <w:rsid w:val="006D62AE"/>
    <w:rsid w:val="006D75B2"/>
    <w:rsid w:val="006D7C63"/>
    <w:rsid w:val="006E1860"/>
    <w:rsid w:val="006E3CED"/>
    <w:rsid w:val="006E4904"/>
    <w:rsid w:val="006E4975"/>
    <w:rsid w:val="006E5664"/>
    <w:rsid w:val="006E7652"/>
    <w:rsid w:val="006F2C64"/>
    <w:rsid w:val="006F354F"/>
    <w:rsid w:val="006F3784"/>
    <w:rsid w:val="00701998"/>
    <w:rsid w:val="00701A34"/>
    <w:rsid w:val="007021C8"/>
    <w:rsid w:val="0070246B"/>
    <w:rsid w:val="00702F44"/>
    <w:rsid w:val="00703AE0"/>
    <w:rsid w:val="007065F3"/>
    <w:rsid w:val="00712ACD"/>
    <w:rsid w:val="00717132"/>
    <w:rsid w:val="00720964"/>
    <w:rsid w:val="00721B53"/>
    <w:rsid w:val="007241DC"/>
    <w:rsid w:val="00725107"/>
    <w:rsid w:val="007278C3"/>
    <w:rsid w:val="00727F02"/>
    <w:rsid w:val="00730C26"/>
    <w:rsid w:val="00730D12"/>
    <w:rsid w:val="00732C01"/>
    <w:rsid w:val="0073320E"/>
    <w:rsid w:val="0073394F"/>
    <w:rsid w:val="00740345"/>
    <w:rsid w:val="0074088C"/>
    <w:rsid w:val="0074465F"/>
    <w:rsid w:val="007447F2"/>
    <w:rsid w:val="00745C93"/>
    <w:rsid w:val="00746EE1"/>
    <w:rsid w:val="007529C5"/>
    <w:rsid w:val="007536BC"/>
    <w:rsid w:val="00753C63"/>
    <w:rsid w:val="00755982"/>
    <w:rsid w:val="00762691"/>
    <w:rsid w:val="00764DEA"/>
    <w:rsid w:val="00766DDB"/>
    <w:rsid w:val="00775C53"/>
    <w:rsid w:val="007760B0"/>
    <w:rsid w:val="007805DD"/>
    <w:rsid w:val="00780734"/>
    <w:rsid w:val="00781EEF"/>
    <w:rsid w:val="00782D81"/>
    <w:rsid w:val="0078376D"/>
    <w:rsid w:val="00785261"/>
    <w:rsid w:val="0078561C"/>
    <w:rsid w:val="00791BDE"/>
    <w:rsid w:val="007950FA"/>
    <w:rsid w:val="0079527D"/>
    <w:rsid w:val="00796B47"/>
    <w:rsid w:val="007A0A3D"/>
    <w:rsid w:val="007A26DA"/>
    <w:rsid w:val="007A40F5"/>
    <w:rsid w:val="007A47D6"/>
    <w:rsid w:val="007A5B66"/>
    <w:rsid w:val="007A69A3"/>
    <w:rsid w:val="007A7B55"/>
    <w:rsid w:val="007B0256"/>
    <w:rsid w:val="007B3BAB"/>
    <w:rsid w:val="007B57D5"/>
    <w:rsid w:val="007B64C4"/>
    <w:rsid w:val="007B6817"/>
    <w:rsid w:val="007B779D"/>
    <w:rsid w:val="007C06C6"/>
    <w:rsid w:val="007C1BEA"/>
    <w:rsid w:val="007C271F"/>
    <w:rsid w:val="007C29EE"/>
    <w:rsid w:val="007C3987"/>
    <w:rsid w:val="007C4425"/>
    <w:rsid w:val="007C6639"/>
    <w:rsid w:val="007D129C"/>
    <w:rsid w:val="007D1BA4"/>
    <w:rsid w:val="007D3574"/>
    <w:rsid w:val="007D3B08"/>
    <w:rsid w:val="007D3C04"/>
    <w:rsid w:val="007D4634"/>
    <w:rsid w:val="007D4F64"/>
    <w:rsid w:val="007D71DF"/>
    <w:rsid w:val="007E08AF"/>
    <w:rsid w:val="007E2078"/>
    <w:rsid w:val="007E2F2D"/>
    <w:rsid w:val="007E3A44"/>
    <w:rsid w:val="007E55E5"/>
    <w:rsid w:val="007E5A3B"/>
    <w:rsid w:val="007E5F85"/>
    <w:rsid w:val="007E6AC0"/>
    <w:rsid w:val="007E71B9"/>
    <w:rsid w:val="007E7D44"/>
    <w:rsid w:val="007F174A"/>
    <w:rsid w:val="007F239D"/>
    <w:rsid w:val="007F245E"/>
    <w:rsid w:val="007F316A"/>
    <w:rsid w:val="007F3C40"/>
    <w:rsid w:val="007F4413"/>
    <w:rsid w:val="007F7F96"/>
    <w:rsid w:val="00800856"/>
    <w:rsid w:val="00803778"/>
    <w:rsid w:val="00804956"/>
    <w:rsid w:val="00804CEF"/>
    <w:rsid w:val="00806417"/>
    <w:rsid w:val="00806917"/>
    <w:rsid w:val="00810615"/>
    <w:rsid w:val="00811D55"/>
    <w:rsid w:val="00815131"/>
    <w:rsid w:val="00816D31"/>
    <w:rsid w:val="008173C4"/>
    <w:rsid w:val="008201F7"/>
    <w:rsid w:val="00821188"/>
    <w:rsid w:val="00821C5F"/>
    <w:rsid w:val="008229C5"/>
    <w:rsid w:val="00822C3D"/>
    <w:rsid w:val="00823371"/>
    <w:rsid w:val="00823DD7"/>
    <w:rsid w:val="00824D74"/>
    <w:rsid w:val="00830C09"/>
    <w:rsid w:val="00834E33"/>
    <w:rsid w:val="008355F5"/>
    <w:rsid w:val="00835665"/>
    <w:rsid w:val="00837ECF"/>
    <w:rsid w:val="00840AC9"/>
    <w:rsid w:val="0084227C"/>
    <w:rsid w:val="008428DA"/>
    <w:rsid w:val="0084344B"/>
    <w:rsid w:val="008458BE"/>
    <w:rsid w:val="00851B1E"/>
    <w:rsid w:val="0085511F"/>
    <w:rsid w:val="00855905"/>
    <w:rsid w:val="008565DF"/>
    <w:rsid w:val="0085710F"/>
    <w:rsid w:val="00860061"/>
    <w:rsid w:val="0086321B"/>
    <w:rsid w:val="00870B02"/>
    <w:rsid w:val="00871D5A"/>
    <w:rsid w:val="00874D32"/>
    <w:rsid w:val="00875C08"/>
    <w:rsid w:val="0087600D"/>
    <w:rsid w:val="008763CE"/>
    <w:rsid w:val="00876CA6"/>
    <w:rsid w:val="00877018"/>
    <w:rsid w:val="0087768B"/>
    <w:rsid w:val="00883784"/>
    <w:rsid w:val="00884CCB"/>
    <w:rsid w:val="00887651"/>
    <w:rsid w:val="00890729"/>
    <w:rsid w:val="00893B98"/>
    <w:rsid w:val="00897275"/>
    <w:rsid w:val="008972CB"/>
    <w:rsid w:val="00897A37"/>
    <w:rsid w:val="008A082A"/>
    <w:rsid w:val="008A3ED9"/>
    <w:rsid w:val="008A6EC1"/>
    <w:rsid w:val="008B028E"/>
    <w:rsid w:val="008B4915"/>
    <w:rsid w:val="008B537A"/>
    <w:rsid w:val="008B5506"/>
    <w:rsid w:val="008B61DB"/>
    <w:rsid w:val="008C1C82"/>
    <w:rsid w:val="008C22B2"/>
    <w:rsid w:val="008C22F8"/>
    <w:rsid w:val="008C2E84"/>
    <w:rsid w:val="008C6786"/>
    <w:rsid w:val="008C6887"/>
    <w:rsid w:val="008C7320"/>
    <w:rsid w:val="008C7AF8"/>
    <w:rsid w:val="008D020C"/>
    <w:rsid w:val="008D05DC"/>
    <w:rsid w:val="008D45F1"/>
    <w:rsid w:val="008E087D"/>
    <w:rsid w:val="008E23C0"/>
    <w:rsid w:val="008E24AA"/>
    <w:rsid w:val="008E32D4"/>
    <w:rsid w:val="008E4EC0"/>
    <w:rsid w:val="008E556C"/>
    <w:rsid w:val="008E6AC1"/>
    <w:rsid w:val="008F3023"/>
    <w:rsid w:val="008F345D"/>
    <w:rsid w:val="008F4396"/>
    <w:rsid w:val="008F7AC4"/>
    <w:rsid w:val="0090287A"/>
    <w:rsid w:val="009060AE"/>
    <w:rsid w:val="00914AA6"/>
    <w:rsid w:val="00917B4F"/>
    <w:rsid w:val="00921058"/>
    <w:rsid w:val="0092195D"/>
    <w:rsid w:val="009220E3"/>
    <w:rsid w:val="009225F0"/>
    <w:rsid w:val="0092308E"/>
    <w:rsid w:val="00924CC1"/>
    <w:rsid w:val="0092551D"/>
    <w:rsid w:val="00925BB4"/>
    <w:rsid w:val="0093182D"/>
    <w:rsid w:val="009347BB"/>
    <w:rsid w:val="0093559F"/>
    <w:rsid w:val="00937E28"/>
    <w:rsid w:val="00942D10"/>
    <w:rsid w:val="009451F5"/>
    <w:rsid w:val="0094563F"/>
    <w:rsid w:val="009471CB"/>
    <w:rsid w:val="0094749C"/>
    <w:rsid w:val="00952A83"/>
    <w:rsid w:val="009541FB"/>
    <w:rsid w:val="00957385"/>
    <w:rsid w:val="00957F96"/>
    <w:rsid w:val="009625FD"/>
    <w:rsid w:val="0096274C"/>
    <w:rsid w:val="0096574C"/>
    <w:rsid w:val="00970291"/>
    <w:rsid w:val="009705D1"/>
    <w:rsid w:val="00971B55"/>
    <w:rsid w:val="0097420C"/>
    <w:rsid w:val="00977F1C"/>
    <w:rsid w:val="009801CC"/>
    <w:rsid w:val="0098261C"/>
    <w:rsid w:val="00985621"/>
    <w:rsid w:val="00985FEA"/>
    <w:rsid w:val="00986EC5"/>
    <w:rsid w:val="00990B9B"/>
    <w:rsid w:val="0099164D"/>
    <w:rsid w:val="009935E9"/>
    <w:rsid w:val="00996FBB"/>
    <w:rsid w:val="009975D9"/>
    <w:rsid w:val="009A0977"/>
    <w:rsid w:val="009A125F"/>
    <w:rsid w:val="009A1327"/>
    <w:rsid w:val="009A1AE7"/>
    <w:rsid w:val="009A6E10"/>
    <w:rsid w:val="009B060C"/>
    <w:rsid w:val="009B0F1A"/>
    <w:rsid w:val="009B31D9"/>
    <w:rsid w:val="009B65C1"/>
    <w:rsid w:val="009B66B3"/>
    <w:rsid w:val="009B72F0"/>
    <w:rsid w:val="009B77BB"/>
    <w:rsid w:val="009C5222"/>
    <w:rsid w:val="009C5667"/>
    <w:rsid w:val="009C65D0"/>
    <w:rsid w:val="009C67E7"/>
    <w:rsid w:val="009D0B5A"/>
    <w:rsid w:val="009D2B4E"/>
    <w:rsid w:val="009D3183"/>
    <w:rsid w:val="009D3ACF"/>
    <w:rsid w:val="009D3CCB"/>
    <w:rsid w:val="009D6624"/>
    <w:rsid w:val="009D6BFE"/>
    <w:rsid w:val="009D7BAA"/>
    <w:rsid w:val="009E056F"/>
    <w:rsid w:val="009E2369"/>
    <w:rsid w:val="009E23B1"/>
    <w:rsid w:val="009E506F"/>
    <w:rsid w:val="009E75BE"/>
    <w:rsid w:val="009F39D4"/>
    <w:rsid w:val="009F7314"/>
    <w:rsid w:val="00A0026A"/>
    <w:rsid w:val="00A05685"/>
    <w:rsid w:val="00A07317"/>
    <w:rsid w:val="00A10C6F"/>
    <w:rsid w:val="00A10D18"/>
    <w:rsid w:val="00A1333C"/>
    <w:rsid w:val="00A13549"/>
    <w:rsid w:val="00A13A07"/>
    <w:rsid w:val="00A1479A"/>
    <w:rsid w:val="00A14CB0"/>
    <w:rsid w:val="00A1756F"/>
    <w:rsid w:val="00A21806"/>
    <w:rsid w:val="00A22108"/>
    <w:rsid w:val="00A24AE6"/>
    <w:rsid w:val="00A24DC6"/>
    <w:rsid w:val="00A24DCE"/>
    <w:rsid w:val="00A25EF4"/>
    <w:rsid w:val="00A278A8"/>
    <w:rsid w:val="00A31479"/>
    <w:rsid w:val="00A320B8"/>
    <w:rsid w:val="00A349B4"/>
    <w:rsid w:val="00A368AD"/>
    <w:rsid w:val="00A37709"/>
    <w:rsid w:val="00A428AC"/>
    <w:rsid w:val="00A43E20"/>
    <w:rsid w:val="00A43E66"/>
    <w:rsid w:val="00A4462B"/>
    <w:rsid w:val="00A4550E"/>
    <w:rsid w:val="00A455E5"/>
    <w:rsid w:val="00A50A72"/>
    <w:rsid w:val="00A5111E"/>
    <w:rsid w:val="00A52A5B"/>
    <w:rsid w:val="00A52C6C"/>
    <w:rsid w:val="00A53288"/>
    <w:rsid w:val="00A554D1"/>
    <w:rsid w:val="00A56BCA"/>
    <w:rsid w:val="00A56BD7"/>
    <w:rsid w:val="00A6031D"/>
    <w:rsid w:val="00A631A5"/>
    <w:rsid w:val="00A63420"/>
    <w:rsid w:val="00A64A39"/>
    <w:rsid w:val="00A7008D"/>
    <w:rsid w:val="00A73D6C"/>
    <w:rsid w:val="00A74769"/>
    <w:rsid w:val="00A74A37"/>
    <w:rsid w:val="00A754E6"/>
    <w:rsid w:val="00A7673B"/>
    <w:rsid w:val="00A77688"/>
    <w:rsid w:val="00A819D0"/>
    <w:rsid w:val="00A8489B"/>
    <w:rsid w:val="00A90517"/>
    <w:rsid w:val="00A90A1A"/>
    <w:rsid w:val="00A90AB4"/>
    <w:rsid w:val="00A93A1D"/>
    <w:rsid w:val="00AA1D21"/>
    <w:rsid w:val="00AA4166"/>
    <w:rsid w:val="00AA4EC4"/>
    <w:rsid w:val="00AB0DEF"/>
    <w:rsid w:val="00AB335E"/>
    <w:rsid w:val="00AB33E8"/>
    <w:rsid w:val="00AB763E"/>
    <w:rsid w:val="00AC0D23"/>
    <w:rsid w:val="00AC6137"/>
    <w:rsid w:val="00AC6376"/>
    <w:rsid w:val="00AC6C39"/>
    <w:rsid w:val="00AC6F02"/>
    <w:rsid w:val="00AC7E0B"/>
    <w:rsid w:val="00AD18C4"/>
    <w:rsid w:val="00AD38CE"/>
    <w:rsid w:val="00AD40C4"/>
    <w:rsid w:val="00AD564F"/>
    <w:rsid w:val="00AD6979"/>
    <w:rsid w:val="00AD6B2C"/>
    <w:rsid w:val="00AD6C1E"/>
    <w:rsid w:val="00AE1D8A"/>
    <w:rsid w:val="00AE21BB"/>
    <w:rsid w:val="00AE2E5F"/>
    <w:rsid w:val="00AF15CA"/>
    <w:rsid w:val="00AF17DA"/>
    <w:rsid w:val="00AF2958"/>
    <w:rsid w:val="00AF6F56"/>
    <w:rsid w:val="00AF7264"/>
    <w:rsid w:val="00B007C3"/>
    <w:rsid w:val="00B070FA"/>
    <w:rsid w:val="00B10EB1"/>
    <w:rsid w:val="00B179E0"/>
    <w:rsid w:val="00B2065C"/>
    <w:rsid w:val="00B20AC4"/>
    <w:rsid w:val="00B20B2B"/>
    <w:rsid w:val="00B23221"/>
    <w:rsid w:val="00B24348"/>
    <w:rsid w:val="00B25125"/>
    <w:rsid w:val="00B30998"/>
    <w:rsid w:val="00B30A6C"/>
    <w:rsid w:val="00B31CA8"/>
    <w:rsid w:val="00B325F2"/>
    <w:rsid w:val="00B32618"/>
    <w:rsid w:val="00B3366C"/>
    <w:rsid w:val="00B33AE0"/>
    <w:rsid w:val="00B3452E"/>
    <w:rsid w:val="00B35C1D"/>
    <w:rsid w:val="00B44862"/>
    <w:rsid w:val="00B473B7"/>
    <w:rsid w:val="00B47889"/>
    <w:rsid w:val="00B47E41"/>
    <w:rsid w:val="00B50443"/>
    <w:rsid w:val="00B54839"/>
    <w:rsid w:val="00B551EB"/>
    <w:rsid w:val="00B55EDB"/>
    <w:rsid w:val="00B56688"/>
    <w:rsid w:val="00B60D90"/>
    <w:rsid w:val="00B60EF4"/>
    <w:rsid w:val="00B61532"/>
    <w:rsid w:val="00B61A72"/>
    <w:rsid w:val="00B72B9F"/>
    <w:rsid w:val="00B732A3"/>
    <w:rsid w:val="00B81239"/>
    <w:rsid w:val="00B81C2C"/>
    <w:rsid w:val="00B81CD0"/>
    <w:rsid w:val="00B84C9D"/>
    <w:rsid w:val="00B871CD"/>
    <w:rsid w:val="00B9168C"/>
    <w:rsid w:val="00BA0492"/>
    <w:rsid w:val="00BA1D4E"/>
    <w:rsid w:val="00BA2DB9"/>
    <w:rsid w:val="00BA2FFB"/>
    <w:rsid w:val="00BA5022"/>
    <w:rsid w:val="00BA6790"/>
    <w:rsid w:val="00BA7A62"/>
    <w:rsid w:val="00BB2495"/>
    <w:rsid w:val="00BB6E64"/>
    <w:rsid w:val="00BB7589"/>
    <w:rsid w:val="00BC0AA3"/>
    <w:rsid w:val="00BC0BD0"/>
    <w:rsid w:val="00BC457A"/>
    <w:rsid w:val="00BC668B"/>
    <w:rsid w:val="00BC6835"/>
    <w:rsid w:val="00BD475C"/>
    <w:rsid w:val="00BD6AF6"/>
    <w:rsid w:val="00BD765B"/>
    <w:rsid w:val="00BD782A"/>
    <w:rsid w:val="00BE0A61"/>
    <w:rsid w:val="00BE333A"/>
    <w:rsid w:val="00BE377D"/>
    <w:rsid w:val="00BE4F0A"/>
    <w:rsid w:val="00BE5ED6"/>
    <w:rsid w:val="00BE7148"/>
    <w:rsid w:val="00BF1869"/>
    <w:rsid w:val="00BF269B"/>
    <w:rsid w:val="00BF67F5"/>
    <w:rsid w:val="00BF7E94"/>
    <w:rsid w:val="00C00772"/>
    <w:rsid w:val="00C0269B"/>
    <w:rsid w:val="00C027B8"/>
    <w:rsid w:val="00C02C4F"/>
    <w:rsid w:val="00C058A3"/>
    <w:rsid w:val="00C07F54"/>
    <w:rsid w:val="00C10493"/>
    <w:rsid w:val="00C150CA"/>
    <w:rsid w:val="00C2023E"/>
    <w:rsid w:val="00C22B0B"/>
    <w:rsid w:val="00C2430A"/>
    <w:rsid w:val="00C25276"/>
    <w:rsid w:val="00C2603C"/>
    <w:rsid w:val="00C26507"/>
    <w:rsid w:val="00C31B04"/>
    <w:rsid w:val="00C3386A"/>
    <w:rsid w:val="00C33A28"/>
    <w:rsid w:val="00C34C37"/>
    <w:rsid w:val="00C34C42"/>
    <w:rsid w:val="00C4035D"/>
    <w:rsid w:val="00C41792"/>
    <w:rsid w:val="00C42263"/>
    <w:rsid w:val="00C42FE3"/>
    <w:rsid w:val="00C430EA"/>
    <w:rsid w:val="00C432EF"/>
    <w:rsid w:val="00C43EA5"/>
    <w:rsid w:val="00C47A39"/>
    <w:rsid w:val="00C52D2E"/>
    <w:rsid w:val="00C56C65"/>
    <w:rsid w:val="00C57001"/>
    <w:rsid w:val="00C60C5C"/>
    <w:rsid w:val="00C61F46"/>
    <w:rsid w:val="00C62CBD"/>
    <w:rsid w:val="00C63500"/>
    <w:rsid w:val="00C63A18"/>
    <w:rsid w:val="00C65053"/>
    <w:rsid w:val="00C65C3E"/>
    <w:rsid w:val="00C662A3"/>
    <w:rsid w:val="00C703C3"/>
    <w:rsid w:val="00C713C3"/>
    <w:rsid w:val="00C71B5F"/>
    <w:rsid w:val="00C72191"/>
    <w:rsid w:val="00C72413"/>
    <w:rsid w:val="00C7342C"/>
    <w:rsid w:val="00C73619"/>
    <w:rsid w:val="00C86289"/>
    <w:rsid w:val="00C86AE1"/>
    <w:rsid w:val="00C8714F"/>
    <w:rsid w:val="00C87CC4"/>
    <w:rsid w:val="00C92BFE"/>
    <w:rsid w:val="00C9327A"/>
    <w:rsid w:val="00C93941"/>
    <w:rsid w:val="00C97C1E"/>
    <w:rsid w:val="00CA01D8"/>
    <w:rsid w:val="00CA087D"/>
    <w:rsid w:val="00CA0C00"/>
    <w:rsid w:val="00CA2CEB"/>
    <w:rsid w:val="00CA3F3A"/>
    <w:rsid w:val="00CB02BB"/>
    <w:rsid w:val="00CB1165"/>
    <w:rsid w:val="00CB2C0D"/>
    <w:rsid w:val="00CB38F4"/>
    <w:rsid w:val="00CB3D3C"/>
    <w:rsid w:val="00CB6D8F"/>
    <w:rsid w:val="00CC31E0"/>
    <w:rsid w:val="00CC399B"/>
    <w:rsid w:val="00CC3EA2"/>
    <w:rsid w:val="00CC5D10"/>
    <w:rsid w:val="00CC727D"/>
    <w:rsid w:val="00CC7A32"/>
    <w:rsid w:val="00CD1687"/>
    <w:rsid w:val="00CD1D88"/>
    <w:rsid w:val="00CD1ECF"/>
    <w:rsid w:val="00CD2EAB"/>
    <w:rsid w:val="00CD4711"/>
    <w:rsid w:val="00CD50BB"/>
    <w:rsid w:val="00CD56C9"/>
    <w:rsid w:val="00CE054F"/>
    <w:rsid w:val="00CE17C4"/>
    <w:rsid w:val="00CE1CB4"/>
    <w:rsid w:val="00CE2EFF"/>
    <w:rsid w:val="00CE50C1"/>
    <w:rsid w:val="00CE7078"/>
    <w:rsid w:val="00CF04DF"/>
    <w:rsid w:val="00CF2CEE"/>
    <w:rsid w:val="00CF7523"/>
    <w:rsid w:val="00CF7AB2"/>
    <w:rsid w:val="00D001C0"/>
    <w:rsid w:val="00D01C53"/>
    <w:rsid w:val="00D01F95"/>
    <w:rsid w:val="00D02455"/>
    <w:rsid w:val="00D05324"/>
    <w:rsid w:val="00D0549F"/>
    <w:rsid w:val="00D05F97"/>
    <w:rsid w:val="00D102D4"/>
    <w:rsid w:val="00D118A4"/>
    <w:rsid w:val="00D12182"/>
    <w:rsid w:val="00D1707E"/>
    <w:rsid w:val="00D176D0"/>
    <w:rsid w:val="00D208EF"/>
    <w:rsid w:val="00D227A6"/>
    <w:rsid w:val="00D22A8A"/>
    <w:rsid w:val="00D26838"/>
    <w:rsid w:val="00D26BC0"/>
    <w:rsid w:val="00D274BF"/>
    <w:rsid w:val="00D3029B"/>
    <w:rsid w:val="00D3102B"/>
    <w:rsid w:val="00D32858"/>
    <w:rsid w:val="00D35A47"/>
    <w:rsid w:val="00D36095"/>
    <w:rsid w:val="00D363E5"/>
    <w:rsid w:val="00D36E40"/>
    <w:rsid w:val="00D36F4E"/>
    <w:rsid w:val="00D406BA"/>
    <w:rsid w:val="00D43B05"/>
    <w:rsid w:val="00D440E6"/>
    <w:rsid w:val="00D4422F"/>
    <w:rsid w:val="00D44AA2"/>
    <w:rsid w:val="00D50B4B"/>
    <w:rsid w:val="00D525C2"/>
    <w:rsid w:val="00D57F50"/>
    <w:rsid w:val="00D602BF"/>
    <w:rsid w:val="00D62D53"/>
    <w:rsid w:val="00D6626A"/>
    <w:rsid w:val="00D66A73"/>
    <w:rsid w:val="00D70E5C"/>
    <w:rsid w:val="00D70E7D"/>
    <w:rsid w:val="00D71A5E"/>
    <w:rsid w:val="00D71F46"/>
    <w:rsid w:val="00D73137"/>
    <w:rsid w:val="00D743E7"/>
    <w:rsid w:val="00D76B51"/>
    <w:rsid w:val="00D76E27"/>
    <w:rsid w:val="00D773CC"/>
    <w:rsid w:val="00D77812"/>
    <w:rsid w:val="00D80907"/>
    <w:rsid w:val="00D80A2D"/>
    <w:rsid w:val="00D832F1"/>
    <w:rsid w:val="00D8534A"/>
    <w:rsid w:val="00D85637"/>
    <w:rsid w:val="00D87AEA"/>
    <w:rsid w:val="00D90D3C"/>
    <w:rsid w:val="00D931DC"/>
    <w:rsid w:val="00D93954"/>
    <w:rsid w:val="00DA049C"/>
    <w:rsid w:val="00DA1C7E"/>
    <w:rsid w:val="00DA1D20"/>
    <w:rsid w:val="00DA2890"/>
    <w:rsid w:val="00DA345F"/>
    <w:rsid w:val="00DA3CD2"/>
    <w:rsid w:val="00DA4E2E"/>
    <w:rsid w:val="00DA4F11"/>
    <w:rsid w:val="00DA51A0"/>
    <w:rsid w:val="00DA711F"/>
    <w:rsid w:val="00DA7E6B"/>
    <w:rsid w:val="00DA7E74"/>
    <w:rsid w:val="00DB0C7A"/>
    <w:rsid w:val="00DB1A1D"/>
    <w:rsid w:val="00DB1D27"/>
    <w:rsid w:val="00DB3323"/>
    <w:rsid w:val="00DB40B0"/>
    <w:rsid w:val="00DB49A9"/>
    <w:rsid w:val="00DB51A7"/>
    <w:rsid w:val="00DB6713"/>
    <w:rsid w:val="00DB7E0C"/>
    <w:rsid w:val="00DC0DBD"/>
    <w:rsid w:val="00DC12C0"/>
    <w:rsid w:val="00DC21BD"/>
    <w:rsid w:val="00DC300E"/>
    <w:rsid w:val="00DC427D"/>
    <w:rsid w:val="00DC5E10"/>
    <w:rsid w:val="00DC66E0"/>
    <w:rsid w:val="00DD20A1"/>
    <w:rsid w:val="00DD3719"/>
    <w:rsid w:val="00DD41B9"/>
    <w:rsid w:val="00DD4622"/>
    <w:rsid w:val="00DD5839"/>
    <w:rsid w:val="00DD781E"/>
    <w:rsid w:val="00DD7F8E"/>
    <w:rsid w:val="00DE074D"/>
    <w:rsid w:val="00DE272C"/>
    <w:rsid w:val="00DE3BBA"/>
    <w:rsid w:val="00DE422F"/>
    <w:rsid w:val="00DE52ED"/>
    <w:rsid w:val="00DF1529"/>
    <w:rsid w:val="00DF1946"/>
    <w:rsid w:val="00DF1A0F"/>
    <w:rsid w:val="00DF1E59"/>
    <w:rsid w:val="00DF27AE"/>
    <w:rsid w:val="00DF2EF3"/>
    <w:rsid w:val="00DF3DD1"/>
    <w:rsid w:val="00DF55B3"/>
    <w:rsid w:val="00E03497"/>
    <w:rsid w:val="00E06891"/>
    <w:rsid w:val="00E07F01"/>
    <w:rsid w:val="00E103A9"/>
    <w:rsid w:val="00E11CA5"/>
    <w:rsid w:val="00E13AB5"/>
    <w:rsid w:val="00E1647F"/>
    <w:rsid w:val="00E21272"/>
    <w:rsid w:val="00E22FF8"/>
    <w:rsid w:val="00E252BE"/>
    <w:rsid w:val="00E253D2"/>
    <w:rsid w:val="00E256EF"/>
    <w:rsid w:val="00E319E0"/>
    <w:rsid w:val="00E322D8"/>
    <w:rsid w:val="00E32FB0"/>
    <w:rsid w:val="00E3317F"/>
    <w:rsid w:val="00E33B42"/>
    <w:rsid w:val="00E33D31"/>
    <w:rsid w:val="00E403F5"/>
    <w:rsid w:val="00E41039"/>
    <w:rsid w:val="00E41680"/>
    <w:rsid w:val="00E437A3"/>
    <w:rsid w:val="00E443C6"/>
    <w:rsid w:val="00E45157"/>
    <w:rsid w:val="00E47399"/>
    <w:rsid w:val="00E51D8E"/>
    <w:rsid w:val="00E52DD3"/>
    <w:rsid w:val="00E539F7"/>
    <w:rsid w:val="00E56924"/>
    <w:rsid w:val="00E56D52"/>
    <w:rsid w:val="00E57A92"/>
    <w:rsid w:val="00E57F7C"/>
    <w:rsid w:val="00E627B2"/>
    <w:rsid w:val="00E62EF6"/>
    <w:rsid w:val="00E638CB"/>
    <w:rsid w:val="00E63997"/>
    <w:rsid w:val="00E66EE5"/>
    <w:rsid w:val="00E708BB"/>
    <w:rsid w:val="00E70948"/>
    <w:rsid w:val="00E74D68"/>
    <w:rsid w:val="00E75151"/>
    <w:rsid w:val="00E765DF"/>
    <w:rsid w:val="00E76F20"/>
    <w:rsid w:val="00E8186A"/>
    <w:rsid w:val="00E81B0E"/>
    <w:rsid w:val="00E83724"/>
    <w:rsid w:val="00E8430C"/>
    <w:rsid w:val="00E84F93"/>
    <w:rsid w:val="00E87AFF"/>
    <w:rsid w:val="00E92472"/>
    <w:rsid w:val="00E932B9"/>
    <w:rsid w:val="00E940EC"/>
    <w:rsid w:val="00E956E7"/>
    <w:rsid w:val="00E97F0C"/>
    <w:rsid w:val="00EA0523"/>
    <w:rsid w:val="00EA2E09"/>
    <w:rsid w:val="00EA58B9"/>
    <w:rsid w:val="00EA59BE"/>
    <w:rsid w:val="00EA7E98"/>
    <w:rsid w:val="00EB27E6"/>
    <w:rsid w:val="00EB4BBB"/>
    <w:rsid w:val="00EB7A78"/>
    <w:rsid w:val="00EC0CC0"/>
    <w:rsid w:val="00EC230C"/>
    <w:rsid w:val="00EC25F2"/>
    <w:rsid w:val="00EC5730"/>
    <w:rsid w:val="00ED162B"/>
    <w:rsid w:val="00ED52F1"/>
    <w:rsid w:val="00ED5544"/>
    <w:rsid w:val="00ED6C27"/>
    <w:rsid w:val="00EE1EF8"/>
    <w:rsid w:val="00EE31D0"/>
    <w:rsid w:val="00EE3834"/>
    <w:rsid w:val="00EF5826"/>
    <w:rsid w:val="00EF6979"/>
    <w:rsid w:val="00F021E8"/>
    <w:rsid w:val="00F02BDB"/>
    <w:rsid w:val="00F03028"/>
    <w:rsid w:val="00F0305B"/>
    <w:rsid w:val="00F06877"/>
    <w:rsid w:val="00F1088E"/>
    <w:rsid w:val="00F10E60"/>
    <w:rsid w:val="00F135F4"/>
    <w:rsid w:val="00F1499D"/>
    <w:rsid w:val="00F15C0B"/>
    <w:rsid w:val="00F17374"/>
    <w:rsid w:val="00F2053B"/>
    <w:rsid w:val="00F22405"/>
    <w:rsid w:val="00F248BF"/>
    <w:rsid w:val="00F30189"/>
    <w:rsid w:val="00F30908"/>
    <w:rsid w:val="00F31F12"/>
    <w:rsid w:val="00F31F9D"/>
    <w:rsid w:val="00F35119"/>
    <w:rsid w:val="00F35A4F"/>
    <w:rsid w:val="00F360CB"/>
    <w:rsid w:val="00F36704"/>
    <w:rsid w:val="00F40514"/>
    <w:rsid w:val="00F40964"/>
    <w:rsid w:val="00F41865"/>
    <w:rsid w:val="00F418C4"/>
    <w:rsid w:val="00F424C3"/>
    <w:rsid w:val="00F461D1"/>
    <w:rsid w:val="00F46612"/>
    <w:rsid w:val="00F46854"/>
    <w:rsid w:val="00F51A08"/>
    <w:rsid w:val="00F520A3"/>
    <w:rsid w:val="00F523DA"/>
    <w:rsid w:val="00F56AED"/>
    <w:rsid w:val="00F6210A"/>
    <w:rsid w:val="00F62D5F"/>
    <w:rsid w:val="00F679EC"/>
    <w:rsid w:val="00F704E0"/>
    <w:rsid w:val="00F71040"/>
    <w:rsid w:val="00F72E0F"/>
    <w:rsid w:val="00F757D2"/>
    <w:rsid w:val="00F75CAA"/>
    <w:rsid w:val="00F76DA7"/>
    <w:rsid w:val="00F77BE4"/>
    <w:rsid w:val="00F80384"/>
    <w:rsid w:val="00F83A19"/>
    <w:rsid w:val="00F84BCA"/>
    <w:rsid w:val="00F85669"/>
    <w:rsid w:val="00F866F1"/>
    <w:rsid w:val="00F90C36"/>
    <w:rsid w:val="00F93639"/>
    <w:rsid w:val="00F95797"/>
    <w:rsid w:val="00F9794D"/>
    <w:rsid w:val="00FA3A28"/>
    <w:rsid w:val="00FA4872"/>
    <w:rsid w:val="00FB0F1B"/>
    <w:rsid w:val="00FB1BE8"/>
    <w:rsid w:val="00FB2645"/>
    <w:rsid w:val="00FB2D03"/>
    <w:rsid w:val="00FB43B0"/>
    <w:rsid w:val="00FB4DB0"/>
    <w:rsid w:val="00FB5AE8"/>
    <w:rsid w:val="00FC12EE"/>
    <w:rsid w:val="00FC143A"/>
    <w:rsid w:val="00FC3DE6"/>
    <w:rsid w:val="00FC3F86"/>
    <w:rsid w:val="00FC7348"/>
    <w:rsid w:val="00FD2965"/>
    <w:rsid w:val="00FD4A38"/>
    <w:rsid w:val="00FD5D64"/>
    <w:rsid w:val="00FD6097"/>
    <w:rsid w:val="00FD680F"/>
    <w:rsid w:val="00FE1614"/>
    <w:rsid w:val="00FE410A"/>
    <w:rsid w:val="00FE531C"/>
    <w:rsid w:val="00FE5BE5"/>
    <w:rsid w:val="00FE6407"/>
    <w:rsid w:val="00FE6A01"/>
    <w:rsid w:val="00FF06D9"/>
    <w:rsid w:val="00FF122C"/>
    <w:rsid w:val="00FF4AD1"/>
    <w:rsid w:val="00FF5ADB"/>
    <w:rsid w:val="00FF6037"/>
    <w:rsid w:val="00FF6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B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191"/>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1F512D"/>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F512D"/>
    <w:rPr>
      <w:rFonts w:ascii="Georgia" w:eastAsiaTheme="majorEastAsia" w:hAnsi="Georgia" w:cstheme="majorBidi"/>
      <w:bCs/>
      <w:color w:val="24596E"/>
      <w:spacing w:val="4"/>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1F512D"/>
    <w:pPr>
      <w:spacing w:before="1440" w:line="240" w:lineRule="auto"/>
      <w:contextualSpacing/>
    </w:pPr>
    <w:rPr>
      <w:rFonts w:ascii="Georgia" w:eastAsiaTheme="majorEastAsia" w:hAnsi="Georgia" w:cstheme="majorBidi"/>
      <w:color w:val="24596E"/>
      <w:spacing w:val="5"/>
      <w:sz w:val="72"/>
      <w:szCs w:val="52"/>
    </w:rPr>
  </w:style>
  <w:style w:type="character" w:customStyle="1" w:styleId="TitleChar">
    <w:name w:val="Title Char"/>
    <w:basedOn w:val="DefaultParagraphFont"/>
    <w:link w:val="Title"/>
    <w:uiPriority w:val="10"/>
    <w:rsid w:val="001F512D"/>
    <w:rPr>
      <w:rFonts w:ascii="Georgia" w:eastAsiaTheme="majorEastAsia" w:hAnsi="Georgia" w:cstheme="majorBidi"/>
      <w:color w:val="24596E"/>
      <w:spacing w:val="5"/>
      <w:sz w:val="72"/>
      <w:szCs w:val="52"/>
      <w:lang w:eastAsia="en-AU"/>
    </w:rPr>
  </w:style>
  <w:style w:type="paragraph" w:styleId="Subtitle">
    <w:name w:val="Subtitle"/>
    <w:basedOn w:val="Normal"/>
    <w:next w:val="Normal"/>
    <w:link w:val="SubtitleChar"/>
    <w:uiPriority w:val="99"/>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50273B"/>
    <w:pPr>
      <w:numPr>
        <w:numId w:val="1"/>
      </w:numPr>
      <w:tabs>
        <w:tab w:val="clear" w:pos="360"/>
        <w:tab w:val="left" w:pos="170"/>
      </w:tabs>
      <w:spacing w:before="60" w:after="120"/>
      <w:ind w:left="170" w:hanging="170"/>
    </w:pPr>
  </w:style>
  <w:style w:type="paragraph" w:customStyle="1" w:styleId="Pullouttext">
    <w:name w:val="Pullout text"/>
    <w:next w:val="Normal"/>
    <w:link w:val="PullouttextChar"/>
    <w:uiPriority w:val="3"/>
    <w:qFormat/>
    <w:rsid w:val="001F512D"/>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1F512D"/>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2E4BCC"/>
    <w:pPr>
      <w:tabs>
        <w:tab w:val="right" w:leader="dot" w:pos="9344"/>
      </w:tabs>
      <w:spacing w:after="100"/>
    </w:pPr>
    <w:rPr>
      <w:rFonts w:eastAsiaTheme="majorEastAsia"/>
      <w:b/>
      <w:noProof/>
    </w:r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7A7B55"/>
    <w:pPr>
      <w:tabs>
        <w:tab w:val="right" w:leader="dot" w:pos="9356"/>
      </w:tabs>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character" w:styleId="CommentReference">
    <w:name w:val="annotation reference"/>
    <w:basedOn w:val="DefaultParagraphFont"/>
    <w:uiPriority w:val="99"/>
    <w:semiHidden/>
    <w:unhideWhenUsed/>
    <w:rsid w:val="00424AB7"/>
    <w:rPr>
      <w:sz w:val="16"/>
      <w:szCs w:val="16"/>
    </w:rPr>
  </w:style>
  <w:style w:type="paragraph" w:styleId="CommentText">
    <w:name w:val="annotation text"/>
    <w:basedOn w:val="Normal"/>
    <w:link w:val="CommentTextChar"/>
    <w:uiPriority w:val="99"/>
    <w:unhideWhenUsed/>
    <w:rsid w:val="00424AB7"/>
    <w:pPr>
      <w:spacing w:line="240" w:lineRule="auto"/>
    </w:pPr>
    <w:rPr>
      <w:sz w:val="20"/>
      <w:szCs w:val="20"/>
    </w:rPr>
  </w:style>
  <w:style w:type="character" w:customStyle="1" w:styleId="CommentTextChar">
    <w:name w:val="Comment Text Char"/>
    <w:basedOn w:val="DefaultParagraphFont"/>
    <w:link w:val="CommentText"/>
    <w:uiPriority w:val="99"/>
    <w:rsid w:val="00424AB7"/>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424AB7"/>
    <w:rPr>
      <w:b/>
      <w:bCs/>
    </w:rPr>
  </w:style>
  <w:style w:type="character" w:customStyle="1" w:styleId="CommentSubjectChar">
    <w:name w:val="Comment Subject Char"/>
    <w:basedOn w:val="CommentTextChar"/>
    <w:link w:val="CommentSubject"/>
    <w:uiPriority w:val="99"/>
    <w:semiHidden/>
    <w:rsid w:val="00424AB7"/>
    <w:rPr>
      <w:rFonts w:ascii="Arial" w:eastAsia="Times New Roman" w:hAnsi="Arial" w:cs="Times New Roman"/>
      <w:b/>
      <w:bCs/>
      <w:spacing w:val="4"/>
      <w:sz w:val="20"/>
      <w:szCs w:val="20"/>
      <w:lang w:eastAsia="en-AU"/>
    </w:rPr>
  </w:style>
  <w:style w:type="paragraph" w:customStyle="1" w:styleId="Default">
    <w:name w:val="Default"/>
    <w:rsid w:val="00914AA6"/>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2E2C40"/>
    <w:rPr>
      <w:rFonts w:ascii="Arial" w:eastAsia="Times New Roman" w:hAnsi="Arial" w:cs="Times New Roman"/>
      <w:spacing w:val="4"/>
      <w:sz w:val="24"/>
      <w:szCs w:val="24"/>
      <w:lang w:eastAsia="en-AU"/>
    </w:rPr>
  </w:style>
  <w:style w:type="paragraph" w:styleId="Revision">
    <w:name w:val="Revision"/>
    <w:hidden/>
    <w:uiPriority w:val="99"/>
    <w:semiHidden/>
    <w:rsid w:val="002760E1"/>
    <w:pPr>
      <w:spacing w:after="0" w:line="240" w:lineRule="auto"/>
    </w:pPr>
    <w:rPr>
      <w:rFonts w:ascii="Arial" w:eastAsia="Times New Roman" w:hAnsi="Arial" w:cs="Times New Roman"/>
      <w:spacing w:val="4"/>
      <w:sz w:val="24"/>
      <w:szCs w:val="24"/>
      <w:lang w:eastAsia="en-AU"/>
    </w:rPr>
  </w:style>
  <w:style w:type="paragraph" w:customStyle="1" w:styleId="TalkingPoint">
    <w:name w:val="TalkingPoint"/>
    <w:basedOn w:val="Normal"/>
    <w:qFormat/>
    <w:rsid w:val="00CA0C00"/>
    <w:pPr>
      <w:numPr>
        <w:numId w:val="3"/>
      </w:numPr>
      <w:spacing w:before="0" w:after="0" w:line="240" w:lineRule="auto"/>
    </w:pPr>
    <w:rPr>
      <w:rFonts w:ascii="Calibri" w:eastAsiaTheme="minorHAnsi" w:hAnsi="Calibri" w:cs="Calibri"/>
      <w:color w:val="000000" w:themeColor="text1"/>
      <w:spacing w:val="0"/>
      <w:sz w:val="32"/>
      <w:szCs w:val="32"/>
      <w:lang w:eastAsia="en-US"/>
    </w:rPr>
  </w:style>
  <w:style w:type="paragraph" w:styleId="FootnoteText">
    <w:name w:val="footnote text"/>
    <w:basedOn w:val="Normal"/>
    <w:link w:val="FootnoteTextChar"/>
    <w:uiPriority w:val="99"/>
    <w:semiHidden/>
    <w:unhideWhenUsed/>
    <w:rsid w:val="00694F1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94F1B"/>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694F1B"/>
    <w:rPr>
      <w:vertAlign w:val="superscript"/>
    </w:rPr>
  </w:style>
  <w:style w:type="character" w:customStyle="1" w:styleId="st1">
    <w:name w:val="st1"/>
    <w:basedOn w:val="DefaultParagraphFont"/>
    <w:rsid w:val="00FF4AD1"/>
  </w:style>
  <w:style w:type="paragraph" w:styleId="EndnoteText">
    <w:name w:val="endnote text"/>
    <w:basedOn w:val="Normal"/>
    <w:link w:val="EndnoteTextChar"/>
    <w:uiPriority w:val="99"/>
    <w:semiHidden/>
    <w:unhideWhenUsed/>
    <w:rsid w:val="000E771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771D"/>
    <w:rPr>
      <w:rFonts w:ascii="Arial" w:eastAsia="Times New Roman" w:hAnsi="Arial" w:cs="Times New Roman"/>
      <w:spacing w:val="4"/>
      <w:sz w:val="20"/>
      <w:szCs w:val="20"/>
      <w:lang w:eastAsia="en-AU"/>
    </w:rPr>
  </w:style>
  <w:style w:type="character" w:styleId="EndnoteReference">
    <w:name w:val="endnote reference"/>
    <w:basedOn w:val="DefaultParagraphFont"/>
    <w:uiPriority w:val="99"/>
    <w:semiHidden/>
    <w:unhideWhenUsed/>
    <w:rsid w:val="000E7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589">
      <w:bodyDiv w:val="1"/>
      <w:marLeft w:val="0"/>
      <w:marRight w:val="0"/>
      <w:marTop w:val="0"/>
      <w:marBottom w:val="0"/>
      <w:divBdr>
        <w:top w:val="none" w:sz="0" w:space="0" w:color="auto"/>
        <w:left w:val="none" w:sz="0" w:space="0" w:color="auto"/>
        <w:bottom w:val="none" w:sz="0" w:space="0" w:color="auto"/>
        <w:right w:val="none" w:sz="0" w:space="0" w:color="auto"/>
      </w:divBdr>
    </w:div>
    <w:div w:id="184176192">
      <w:bodyDiv w:val="1"/>
      <w:marLeft w:val="0"/>
      <w:marRight w:val="0"/>
      <w:marTop w:val="0"/>
      <w:marBottom w:val="0"/>
      <w:divBdr>
        <w:top w:val="none" w:sz="0" w:space="0" w:color="auto"/>
        <w:left w:val="none" w:sz="0" w:space="0" w:color="auto"/>
        <w:bottom w:val="none" w:sz="0" w:space="0" w:color="auto"/>
        <w:right w:val="none" w:sz="0" w:space="0" w:color="auto"/>
      </w:divBdr>
      <w:divsChild>
        <w:div w:id="954558982">
          <w:marLeft w:val="0"/>
          <w:marRight w:val="0"/>
          <w:marTop w:val="0"/>
          <w:marBottom w:val="0"/>
          <w:divBdr>
            <w:top w:val="none" w:sz="0" w:space="0" w:color="auto"/>
            <w:left w:val="none" w:sz="0" w:space="0" w:color="auto"/>
            <w:bottom w:val="none" w:sz="0" w:space="0" w:color="auto"/>
            <w:right w:val="none" w:sz="0" w:space="0" w:color="auto"/>
          </w:divBdr>
          <w:divsChild>
            <w:div w:id="306014293">
              <w:marLeft w:val="0"/>
              <w:marRight w:val="0"/>
              <w:marTop w:val="0"/>
              <w:marBottom w:val="0"/>
              <w:divBdr>
                <w:top w:val="none" w:sz="0" w:space="0" w:color="auto"/>
                <w:left w:val="none" w:sz="0" w:space="0" w:color="auto"/>
                <w:bottom w:val="none" w:sz="0" w:space="0" w:color="auto"/>
                <w:right w:val="none" w:sz="0" w:space="0" w:color="auto"/>
              </w:divBdr>
              <w:divsChild>
                <w:div w:id="1626621991">
                  <w:marLeft w:val="0"/>
                  <w:marRight w:val="0"/>
                  <w:marTop w:val="0"/>
                  <w:marBottom w:val="0"/>
                  <w:divBdr>
                    <w:top w:val="none" w:sz="0" w:space="0" w:color="auto"/>
                    <w:left w:val="none" w:sz="0" w:space="0" w:color="auto"/>
                    <w:bottom w:val="none" w:sz="0" w:space="0" w:color="auto"/>
                    <w:right w:val="none" w:sz="0" w:space="0" w:color="auto"/>
                  </w:divBdr>
                  <w:divsChild>
                    <w:div w:id="1272711481">
                      <w:marLeft w:val="0"/>
                      <w:marRight w:val="0"/>
                      <w:marTop w:val="0"/>
                      <w:marBottom w:val="0"/>
                      <w:divBdr>
                        <w:top w:val="none" w:sz="0" w:space="0" w:color="auto"/>
                        <w:left w:val="none" w:sz="0" w:space="0" w:color="auto"/>
                        <w:bottom w:val="none" w:sz="0" w:space="0" w:color="auto"/>
                        <w:right w:val="none" w:sz="0" w:space="0" w:color="auto"/>
                      </w:divBdr>
                      <w:divsChild>
                        <w:div w:id="2014408934">
                          <w:marLeft w:val="0"/>
                          <w:marRight w:val="0"/>
                          <w:marTop w:val="0"/>
                          <w:marBottom w:val="0"/>
                          <w:divBdr>
                            <w:top w:val="none" w:sz="0" w:space="0" w:color="auto"/>
                            <w:left w:val="none" w:sz="0" w:space="0" w:color="auto"/>
                            <w:bottom w:val="none" w:sz="0" w:space="0" w:color="auto"/>
                            <w:right w:val="none" w:sz="0" w:space="0" w:color="auto"/>
                          </w:divBdr>
                          <w:divsChild>
                            <w:div w:id="1625191151">
                              <w:marLeft w:val="2700"/>
                              <w:marRight w:val="3960"/>
                              <w:marTop w:val="0"/>
                              <w:marBottom w:val="0"/>
                              <w:divBdr>
                                <w:top w:val="none" w:sz="0" w:space="0" w:color="auto"/>
                                <w:left w:val="none" w:sz="0" w:space="0" w:color="auto"/>
                                <w:bottom w:val="none" w:sz="0" w:space="0" w:color="auto"/>
                                <w:right w:val="none" w:sz="0" w:space="0" w:color="auto"/>
                              </w:divBdr>
                              <w:divsChild>
                                <w:div w:id="1911577178">
                                  <w:marLeft w:val="0"/>
                                  <w:marRight w:val="0"/>
                                  <w:marTop w:val="0"/>
                                  <w:marBottom w:val="0"/>
                                  <w:divBdr>
                                    <w:top w:val="none" w:sz="0" w:space="0" w:color="auto"/>
                                    <w:left w:val="none" w:sz="0" w:space="0" w:color="auto"/>
                                    <w:bottom w:val="none" w:sz="0" w:space="0" w:color="auto"/>
                                    <w:right w:val="none" w:sz="0" w:space="0" w:color="auto"/>
                                  </w:divBdr>
                                  <w:divsChild>
                                    <w:div w:id="1318919393">
                                      <w:marLeft w:val="0"/>
                                      <w:marRight w:val="0"/>
                                      <w:marTop w:val="0"/>
                                      <w:marBottom w:val="0"/>
                                      <w:divBdr>
                                        <w:top w:val="none" w:sz="0" w:space="0" w:color="auto"/>
                                        <w:left w:val="none" w:sz="0" w:space="0" w:color="auto"/>
                                        <w:bottom w:val="none" w:sz="0" w:space="0" w:color="auto"/>
                                        <w:right w:val="none" w:sz="0" w:space="0" w:color="auto"/>
                                      </w:divBdr>
                                      <w:divsChild>
                                        <w:div w:id="729497103">
                                          <w:marLeft w:val="0"/>
                                          <w:marRight w:val="0"/>
                                          <w:marTop w:val="0"/>
                                          <w:marBottom w:val="0"/>
                                          <w:divBdr>
                                            <w:top w:val="none" w:sz="0" w:space="0" w:color="auto"/>
                                            <w:left w:val="none" w:sz="0" w:space="0" w:color="auto"/>
                                            <w:bottom w:val="none" w:sz="0" w:space="0" w:color="auto"/>
                                            <w:right w:val="none" w:sz="0" w:space="0" w:color="auto"/>
                                          </w:divBdr>
                                          <w:divsChild>
                                            <w:div w:id="1525561579">
                                              <w:marLeft w:val="0"/>
                                              <w:marRight w:val="0"/>
                                              <w:marTop w:val="90"/>
                                              <w:marBottom w:val="0"/>
                                              <w:divBdr>
                                                <w:top w:val="none" w:sz="0" w:space="0" w:color="auto"/>
                                                <w:left w:val="none" w:sz="0" w:space="0" w:color="auto"/>
                                                <w:bottom w:val="none" w:sz="0" w:space="0" w:color="auto"/>
                                                <w:right w:val="none" w:sz="0" w:space="0" w:color="auto"/>
                                              </w:divBdr>
                                              <w:divsChild>
                                                <w:div w:id="1589116957">
                                                  <w:marLeft w:val="0"/>
                                                  <w:marRight w:val="0"/>
                                                  <w:marTop w:val="0"/>
                                                  <w:marBottom w:val="420"/>
                                                  <w:divBdr>
                                                    <w:top w:val="none" w:sz="0" w:space="0" w:color="auto"/>
                                                    <w:left w:val="none" w:sz="0" w:space="0" w:color="auto"/>
                                                    <w:bottom w:val="none" w:sz="0" w:space="0" w:color="auto"/>
                                                    <w:right w:val="none" w:sz="0" w:space="0" w:color="auto"/>
                                                  </w:divBdr>
                                                  <w:divsChild>
                                                    <w:div w:id="1483043650">
                                                      <w:marLeft w:val="0"/>
                                                      <w:marRight w:val="0"/>
                                                      <w:marTop w:val="0"/>
                                                      <w:marBottom w:val="0"/>
                                                      <w:divBdr>
                                                        <w:top w:val="none" w:sz="0" w:space="0" w:color="auto"/>
                                                        <w:left w:val="none" w:sz="0" w:space="0" w:color="auto"/>
                                                        <w:bottom w:val="none" w:sz="0" w:space="0" w:color="auto"/>
                                                        <w:right w:val="none" w:sz="0" w:space="0" w:color="auto"/>
                                                      </w:divBdr>
                                                      <w:divsChild>
                                                        <w:div w:id="20744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0313308">
      <w:bodyDiv w:val="1"/>
      <w:marLeft w:val="0"/>
      <w:marRight w:val="0"/>
      <w:marTop w:val="0"/>
      <w:marBottom w:val="0"/>
      <w:divBdr>
        <w:top w:val="none" w:sz="0" w:space="0" w:color="auto"/>
        <w:left w:val="none" w:sz="0" w:space="0" w:color="auto"/>
        <w:bottom w:val="none" w:sz="0" w:space="0" w:color="auto"/>
        <w:right w:val="none" w:sz="0" w:space="0" w:color="auto"/>
      </w:divBdr>
    </w:div>
    <w:div w:id="261495910">
      <w:bodyDiv w:val="1"/>
      <w:marLeft w:val="0"/>
      <w:marRight w:val="0"/>
      <w:marTop w:val="0"/>
      <w:marBottom w:val="0"/>
      <w:divBdr>
        <w:top w:val="none" w:sz="0" w:space="0" w:color="auto"/>
        <w:left w:val="none" w:sz="0" w:space="0" w:color="auto"/>
        <w:bottom w:val="none" w:sz="0" w:space="0" w:color="auto"/>
        <w:right w:val="none" w:sz="0" w:space="0" w:color="auto"/>
      </w:divBdr>
    </w:div>
    <w:div w:id="380515912">
      <w:bodyDiv w:val="1"/>
      <w:marLeft w:val="0"/>
      <w:marRight w:val="0"/>
      <w:marTop w:val="0"/>
      <w:marBottom w:val="0"/>
      <w:divBdr>
        <w:top w:val="none" w:sz="0" w:space="0" w:color="auto"/>
        <w:left w:val="none" w:sz="0" w:space="0" w:color="auto"/>
        <w:bottom w:val="none" w:sz="0" w:space="0" w:color="auto"/>
        <w:right w:val="none" w:sz="0" w:space="0" w:color="auto"/>
      </w:divBdr>
    </w:div>
    <w:div w:id="390663225">
      <w:bodyDiv w:val="1"/>
      <w:marLeft w:val="0"/>
      <w:marRight w:val="0"/>
      <w:marTop w:val="0"/>
      <w:marBottom w:val="0"/>
      <w:divBdr>
        <w:top w:val="none" w:sz="0" w:space="0" w:color="auto"/>
        <w:left w:val="none" w:sz="0" w:space="0" w:color="auto"/>
        <w:bottom w:val="none" w:sz="0" w:space="0" w:color="auto"/>
        <w:right w:val="none" w:sz="0" w:space="0" w:color="auto"/>
      </w:divBdr>
    </w:div>
    <w:div w:id="394013581">
      <w:bodyDiv w:val="1"/>
      <w:marLeft w:val="0"/>
      <w:marRight w:val="0"/>
      <w:marTop w:val="0"/>
      <w:marBottom w:val="0"/>
      <w:divBdr>
        <w:top w:val="none" w:sz="0" w:space="0" w:color="auto"/>
        <w:left w:val="none" w:sz="0" w:space="0" w:color="auto"/>
        <w:bottom w:val="none" w:sz="0" w:space="0" w:color="auto"/>
        <w:right w:val="none" w:sz="0" w:space="0" w:color="auto"/>
      </w:divBdr>
    </w:div>
    <w:div w:id="423460759">
      <w:bodyDiv w:val="1"/>
      <w:marLeft w:val="0"/>
      <w:marRight w:val="0"/>
      <w:marTop w:val="0"/>
      <w:marBottom w:val="0"/>
      <w:divBdr>
        <w:top w:val="none" w:sz="0" w:space="0" w:color="auto"/>
        <w:left w:val="none" w:sz="0" w:space="0" w:color="auto"/>
        <w:bottom w:val="none" w:sz="0" w:space="0" w:color="auto"/>
        <w:right w:val="none" w:sz="0" w:space="0" w:color="auto"/>
      </w:divBdr>
    </w:div>
    <w:div w:id="428550820">
      <w:bodyDiv w:val="1"/>
      <w:marLeft w:val="0"/>
      <w:marRight w:val="0"/>
      <w:marTop w:val="0"/>
      <w:marBottom w:val="0"/>
      <w:divBdr>
        <w:top w:val="none" w:sz="0" w:space="0" w:color="auto"/>
        <w:left w:val="none" w:sz="0" w:space="0" w:color="auto"/>
        <w:bottom w:val="none" w:sz="0" w:space="0" w:color="auto"/>
        <w:right w:val="none" w:sz="0" w:space="0" w:color="auto"/>
      </w:divBdr>
    </w:div>
    <w:div w:id="456948098">
      <w:bodyDiv w:val="1"/>
      <w:marLeft w:val="0"/>
      <w:marRight w:val="0"/>
      <w:marTop w:val="0"/>
      <w:marBottom w:val="0"/>
      <w:divBdr>
        <w:top w:val="none" w:sz="0" w:space="0" w:color="auto"/>
        <w:left w:val="none" w:sz="0" w:space="0" w:color="auto"/>
        <w:bottom w:val="none" w:sz="0" w:space="0" w:color="auto"/>
        <w:right w:val="none" w:sz="0" w:space="0" w:color="auto"/>
      </w:divBdr>
    </w:div>
    <w:div w:id="463037806">
      <w:bodyDiv w:val="1"/>
      <w:marLeft w:val="0"/>
      <w:marRight w:val="0"/>
      <w:marTop w:val="0"/>
      <w:marBottom w:val="0"/>
      <w:divBdr>
        <w:top w:val="none" w:sz="0" w:space="0" w:color="auto"/>
        <w:left w:val="none" w:sz="0" w:space="0" w:color="auto"/>
        <w:bottom w:val="none" w:sz="0" w:space="0" w:color="auto"/>
        <w:right w:val="none" w:sz="0" w:space="0" w:color="auto"/>
      </w:divBdr>
    </w:div>
    <w:div w:id="494808986">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0361608">
      <w:bodyDiv w:val="1"/>
      <w:marLeft w:val="0"/>
      <w:marRight w:val="0"/>
      <w:marTop w:val="0"/>
      <w:marBottom w:val="0"/>
      <w:divBdr>
        <w:top w:val="none" w:sz="0" w:space="0" w:color="auto"/>
        <w:left w:val="none" w:sz="0" w:space="0" w:color="auto"/>
        <w:bottom w:val="none" w:sz="0" w:space="0" w:color="auto"/>
        <w:right w:val="none" w:sz="0" w:space="0" w:color="auto"/>
      </w:divBdr>
    </w:div>
    <w:div w:id="632058446">
      <w:bodyDiv w:val="1"/>
      <w:marLeft w:val="0"/>
      <w:marRight w:val="0"/>
      <w:marTop w:val="0"/>
      <w:marBottom w:val="0"/>
      <w:divBdr>
        <w:top w:val="none" w:sz="0" w:space="0" w:color="auto"/>
        <w:left w:val="none" w:sz="0" w:space="0" w:color="auto"/>
        <w:bottom w:val="none" w:sz="0" w:space="0" w:color="auto"/>
        <w:right w:val="none" w:sz="0" w:space="0" w:color="auto"/>
      </w:divBdr>
    </w:div>
    <w:div w:id="650907641">
      <w:bodyDiv w:val="1"/>
      <w:marLeft w:val="0"/>
      <w:marRight w:val="0"/>
      <w:marTop w:val="0"/>
      <w:marBottom w:val="0"/>
      <w:divBdr>
        <w:top w:val="none" w:sz="0" w:space="0" w:color="auto"/>
        <w:left w:val="none" w:sz="0" w:space="0" w:color="auto"/>
        <w:bottom w:val="none" w:sz="0" w:space="0" w:color="auto"/>
        <w:right w:val="none" w:sz="0" w:space="0" w:color="auto"/>
      </w:divBdr>
    </w:div>
    <w:div w:id="922110246">
      <w:bodyDiv w:val="1"/>
      <w:marLeft w:val="0"/>
      <w:marRight w:val="0"/>
      <w:marTop w:val="0"/>
      <w:marBottom w:val="0"/>
      <w:divBdr>
        <w:top w:val="none" w:sz="0" w:space="0" w:color="auto"/>
        <w:left w:val="none" w:sz="0" w:space="0" w:color="auto"/>
        <w:bottom w:val="none" w:sz="0" w:space="0" w:color="auto"/>
        <w:right w:val="none" w:sz="0" w:space="0" w:color="auto"/>
      </w:divBdr>
    </w:div>
    <w:div w:id="965624743">
      <w:bodyDiv w:val="1"/>
      <w:marLeft w:val="0"/>
      <w:marRight w:val="0"/>
      <w:marTop w:val="0"/>
      <w:marBottom w:val="0"/>
      <w:divBdr>
        <w:top w:val="none" w:sz="0" w:space="0" w:color="auto"/>
        <w:left w:val="none" w:sz="0" w:space="0" w:color="auto"/>
        <w:bottom w:val="none" w:sz="0" w:space="0" w:color="auto"/>
        <w:right w:val="none" w:sz="0" w:space="0" w:color="auto"/>
      </w:divBdr>
    </w:div>
    <w:div w:id="1177111628">
      <w:bodyDiv w:val="1"/>
      <w:marLeft w:val="0"/>
      <w:marRight w:val="0"/>
      <w:marTop w:val="0"/>
      <w:marBottom w:val="0"/>
      <w:divBdr>
        <w:top w:val="none" w:sz="0" w:space="0" w:color="auto"/>
        <w:left w:val="none" w:sz="0" w:space="0" w:color="auto"/>
        <w:bottom w:val="none" w:sz="0" w:space="0" w:color="auto"/>
        <w:right w:val="none" w:sz="0" w:space="0" w:color="auto"/>
      </w:divBdr>
    </w:div>
    <w:div w:id="1200586652">
      <w:bodyDiv w:val="1"/>
      <w:marLeft w:val="0"/>
      <w:marRight w:val="0"/>
      <w:marTop w:val="0"/>
      <w:marBottom w:val="0"/>
      <w:divBdr>
        <w:top w:val="none" w:sz="0" w:space="0" w:color="auto"/>
        <w:left w:val="none" w:sz="0" w:space="0" w:color="auto"/>
        <w:bottom w:val="none" w:sz="0" w:space="0" w:color="auto"/>
        <w:right w:val="none" w:sz="0" w:space="0" w:color="auto"/>
      </w:divBdr>
    </w:div>
    <w:div w:id="1318530930">
      <w:bodyDiv w:val="1"/>
      <w:marLeft w:val="0"/>
      <w:marRight w:val="0"/>
      <w:marTop w:val="0"/>
      <w:marBottom w:val="0"/>
      <w:divBdr>
        <w:top w:val="none" w:sz="0" w:space="0" w:color="auto"/>
        <w:left w:val="none" w:sz="0" w:space="0" w:color="auto"/>
        <w:bottom w:val="none" w:sz="0" w:space="0" w:color="auto"/>
        <w:right w:val="none" w:sz="0" w:space="0" w:color="auto"/>
      </w:divBdr>
    </w:div>
    <w:div w:id="1404987520">
      <w:bodyDiv w:val="1"/>
      <w:marLeft w:val="0"/>
      <w:marRight w:val="0"/>
      <w:marTop w:val="0"/>
      <w:marBottom w:val="0"/>
      <w:divBdr>
        <w:top w:val="none" w:sz="0" w:space="0" w:color="auto"/>
        <w:left w:val="none" w:sz="0" w:space="0" w:color="auto"/>
        <w:bottom w:val="none" w:sz="0" w:space="0" w:color="auto"/>
        <w:right w:val="none" w:sz="0" w:space="0" w:color="auto"/>
      </w:divBdr>
    </w:div>
    <w:div w:id="1449423232">
      <w:bodyDiv w:val="1"/>
      <w:marLeft w:val="0"/>
      <w:marRight w:val="0"/>
      <w:marTop w:val="0"/>
      <w:marBottom w:val="0"/>
      <w:divBdr>
        <w:top w:val="none" w:sz="0" w:space="0" w:color="auto"/>
        <w:left w:val="none" w:sz="0" w:space="0" w:color="auto"/>
        <w:bottom w:val="none" w:sz="0" w:space="0" w:color="auto"/>
        <w:right w:val="none" w:sz="0" w:space="0" w:color="auto"/>
      </w:divBdr>
    </w:div>
    <w:div w:id="1474062494">
      <w:bodyDiv w:val="1"/>
      <w:marLeft w:val="0"/>
      <w:marRight w:val="0"/>
      <w:marTop w:val="0"/>
      <w:marBottom w:val="0"/>
      <w:divBdr>
        <w:top w:val="none" w:sz="0" w:space="0" w:color="auto"/>
        <w:left w:val="none" w:sz="0" w:space="0" w:color="auto"/>
        <w:bottom w:val="none" w:sz="0" w:space="0" w:color="auto"/>
        <w:right w:val="none" w:sz="0" w:space="0" w:color="auto"/>
      </w:divBdr>
    </w:div>
    <w:div w:id="1544632797">
      <w:bodyDiv w:val="1"/>
      <w:marLeft w:val="0"/>
      <w:marRight w:val="0"/>
      <w:marTop w:val="0"/>
      <w:marBottom w:val="0"/>
      <w:divBdr>
        <w:top w:val="none" w:sz="0" w:space="0" w:color="auto"/>
        <w:left w:val="none" w:sz="0" w:space="0" w:color="auto"/>
        <w:bottom w:val="none" w:sz="0" w:space="0" w:color="auto"/>
        <w:right w:val="none" w:sz="0" w:space="0" w:color="auto"/>
      </w:divBdr>
    </w:div>
    <w:div w:id="1645430021">
      <w:bodyDiv w:val="1"/>
      <w:marLeft w:val="0"/>
      <w:marRight w:val="0"/>
      <w:marTop w:val="0"/>
      <w:marBottom w:val="0"/>
      <w:divBdr>
        <w:top w:val="none" w:sz="0" w:space="0" w:color="auto"/>
        <w:left w:val="none" w:sz="0" w:space="0" w:color="auto"/>
        <w:bottom w:val="none" w:sz="0" w:space="0" w:color="auto"/>
        <w:right w:val="none" w:sz="0" w:space="0" w:color="auto"/>
      </w:divBdr>
    </w:div>
    <w:div w:id="1684941113">
      <w:bodyDiv w:val="1"/>
      <w:marLeft w:val="0"/>
      <w:marRight w:val="0"/>
      <w:marTop w:val="0"/>
      <w:marBottom w:val="0"/>
      <w:divBdr>
        <w:top w:val="none" w:sz="0" w:space="0" w:color="auto"/>
        <w:left w:val="none" w:sz="0" w:space="0" w:color="auto"/>
        <w:bottom w:val="none" w:sz="0" w:space="0" w:color="auto"/>
        <w:right w:val="none" w:sz="0" w:space="0" w:color="auto"/>
      </w:divBdr>
    </w:div>
    <w:div w:id="1693143205">
      <w:bodyDiv w:val="1"/>
      <w:marLeft w:val="0"/>
      <w:marRight w:val="0"/>
      <w:marTop w:val="0"/>
      <w:marBottom w:val="0"/>
      <w:divBdr>
        <w:top w:val="none" w:sz="0" w:space="0" w:color="auto"/>
        <w:left w:val="none" w:sz="0" w:space="0" w:color="auto"/>
        <w:bottom w:val="none" w:sz="0" w:space="0" w:color="auto"/>
        <w:right w:val="none" w:sz="0" w:space="0" w:color="auto"/>
      </w:divBdr>
    </w:div>
    <w:div w:id="1721397087">
      <w:bodyDiv w:val="1"/>
      <w:marLeft w:val="0"/>
      <w:marRight w:val="0"/>
      <w:marTop w:val="0"/>
      <w:marBottom w:val="0"/>
      <w:divBdr>
        <w:top w:val="none" w:sz="0" w:space="0" w:color="auto"/>
        <w:left w:val="none" w:sz="0" w:space="0" w:color="auto"/>
        <w:bottom w:val="none" w:sz="0" w:space="0" w:color="auto"/>
        <w:right w:val="none" w:sz="0" w:space="0" w:color="auto"/>
      </w:divBdr>
    </w:div>
    <w:div w:id="1725371044">
      <w:bodyDiv w:val="1"/>
      <w:marLeft w:val="0"/>
      <w:marRight w:val="0"/>
      <w:marTop w:val="0"/>
      <w:marBottom w:val="0"/>
      <w:divBdr>
        <w:top w:val="none" w:sz="0" w:space="0" w:color="auto"/>
        <w:left w:val="none" w:sz="0" w:space="0" w:color="auto"/>
        <w:bottom w:val="none" w:sz="0" w:space="0" w:color="auto"/>
        <w:right w:val="none" w:sz="0" w:space="0" w:color="auto"/>
      </w:divBdr>
    </w:div>
    <w:div w:id="1820608863">
      <w:bodyDiv w:val="1"/>
      <w:marLeft w:val="0"/>
      <w:marRight w:val="0"/>
      <w:marTop w:val="0"/>
      <w:marBottom w:val="0"/>
      <w:divBdr>
        <w:top w:val="none" w:sz="0" w:space="0" w:color="auto"/>
        <w:left w:val="none" w:sz="0" w:space="0" w:color="auto"/>
        <w:bottom w:val="none" w:sz="0" w:space="0" w:color="auto"/>
        <w:right w:val="none" w:sz="0" w:space="0" w:color="auto"/>
      </w:divBdr>
    </w:div>
    <w:div w:id="1916354126">
      <w:bodyDiv w:val="1"/>
      <w:marLeft w:val="0"/>
      <w:marRight w:val="0"/>
      <w:marTop w:val="0"/>
      <w:marBottom w:val="0"/>
      <w:divBdr>
        <w:top w:val="none" w:sz="0" w:space="0" w:color="auto"/>
        <w:left w:val="none" w:sz="0" w:space="0" w:color="auto"/>
        <w:bottom w:val="none" w:sz="0" w:space="0" w:color="auto"/>
        <w:right w:val="none" w:sz="0" w:space="0" w:color="auto"/>
      </w:divBdr>
    </w:div>
    <w:div w:id="2012903885">
      <w:bodyDiv w:val="1"/>
      <w:marLeft w:val="0"/>
      <w:marRight w:val="0"/>
      <w:marTop w:val="0"/>
      <w:marBottom w:val="0"/>
      <w:divBdr>
        <w:top w:val="none" w:sz="0" w:space="0" w:color="auto"/>
        <w:left w:val="none" w:sz="0" w:space="0" w:color="auto"/>
        <w:bottom w:val="none" w:sz="0" w:space="0" w:color="auto"/>
        <w:right w:val="none" w:sz="0" w:space="0" w:color="auto"/>
      </w:divBdr>
    </w:div>
    <w:div w:id="2028948458">
      <w:bodyDiv w:val="1"/>
      <w:marLeft w:val="0"/>
      <w:marRight w:val="0"/>
      <w:marTop w:val="0"/>
      <w:marBottom w:val="0"/>
      <w:divBdr>
        <w:top w:val="none" w:sz="0" w:space="0" w:color="auto"/>
        <w:left w:val="none" w:sz="0" w:space="0" w:color="auto"/>
        <w:bottom w:val="none" w:sz="0" w:space="0" w:color="auto"/>
        <w:right w:val="none" w:sz="0" w:space="0" w:color="auto"/>
      </w:divBdr>
    </w:div>
    <w:div w:id="2058894297">
      <w:bodyDiv w:val="1"/>
      <w:marLeft w:val="0"/>
      <w:marRight w:val="0"/>
      <w:marTop w:val="0"/>
      <w:marBottom w:val="0"/>
      <w:divBdr>
        <w:top w:val="none" w:sz="0" w:space="0" w:color="auto"/>
        <w:left w:val="none" w:sz="0" w:space="0" w:color="auto"/>
        <w:bottom w:val="none" w:sz="0" w:space="0" w:color="auto"/>
        <w:right w:val="none" w:sz="0" w:space="0" w:color="auto"/>
      </w:divBdr>
    </w:div>
    <w:div w:id="2060788426">
      <w:bodyDiv w:val="1"/>
      <w:marLeft w:val="0"/>
      <w:marRight w:val="0"/>
      <w:marTop w:val="0"/>
      <w:marBottom w:val="0"/>
      <w:divBdr>
        <w:top w:val="none" w:sz="0" w:space="0" w:color="auto"/>
        <w:left w:val="none" w:sz="0" w:space="0" w:color="auto"/>
        <w:bottom w:val="none" w:sz="0" w:space="0" w:color="auto"/>
        <w:right w:val="none" w:sz="0" w:space="0" w:color="auto"/>
      </w:divBdr>
    </w:div>
    <w:div w:id="211740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23D7-6499-40F4-BCBC-D575FC9E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2837</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2021-05-17T03:46:00Z</dcterms:created>
  <dcterms:modified xsi:type="dcterms:W3CDTF">2021-05-17T03:48:00Z</dcterms:modified>
</cp:coreProperties>
</file>