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6B27E" w14:textId="6B6E9FB9" w:rsidR="006E4D2E" w:rsidRPr="009D0A21" w:rsidRDefault="007F2A04" w:rsidP="00D91AC6">
      <w:pPr>
        <w:pStyle w:val="CoverTitle"/>
        <w:tabs>
          <w:tab w:val="left" w:pos="8505"/>
        </w:tabs>
        <w:ind w:left="0"/>
        <w:rPr>
          <w:lang w:val="en-AU"/>
        </w:rPr>
      </w:pPr>
      <w:bookmarkStart w:id="0" w:name="_GoBack"/>
      <w:bookmarkEnd w:id="0"/>
      <w:r>
        <w:rPr>
          <w:lang w:val="en-AU"/>
        </w:rPr>
        <w:t>D</w:t>
      </w:r>
      <w:r w:rsidR="0083667F">
        <w:rPr>
          <w:lang w:val="en-AU"/>
        </w:rPr>
        <w:t xml:space="preserve">epartment of </w:t>
      </w:r>
      <w:r>
        <w:rPr>
          <w:lang w:val="en-AU"/>
        </w:rPr>
        <w:t>S</w:t>
      </w:r>
      <w:r w:rsidR="0083667F">
        <w:rPr>
          <w:lang w:val="en-AU"/>
        </w:rPr>
        <w:t xml:space="preserve">ocial </w:t>
      </w:r>
      <w:r>
        <w:rPr>
          <w:lang w:val="en-AU"/>
        </w:rPr>
        <w:t>S</w:t>
      </w:r>
      <w:r w:rsidR="0083667F">
        <w:rPr>
          <w:lang w:val="en-AU"/>
        </w:rPr>
        <w:t>ervices</w:t>
      </w:r>
      <w:r w:rsidR="0083667F">
        <w:rPr>
          <w:lang w:val="en-AU"/>
        </w:rPr>
        <w:br/>
      </w:r>
      <w:r>
        <w:rPr>
          <w:lang w:val="en-AU"/>
        </w:rPr>
        <w:t>Safe Places Inclusion Round Consultation Findings</w:t>
      </w:r>
    </w:p>
    <w:p w14:paraId="149A4027" w14:textId="77777777" w:rsidR="00861324" w:rsidRPr="009D0A21" w:rsidRDefault="007F2A04" w:rsidP="00A329F1">
      <w:pPr>
        <w:pStyle w:val="CoverSubheading"/>
        <w:rPr>
          <w:lang w:val="en-AU"/>
        </w:rPr>
      </w:pPr>
      <w:r>
        <w:rPr>
          <w:lang w:val="en-AU"/>
        </w:rPr>
        <w:t>CIRCA Findings from Sector Stakeholder Focus Groups</w:t>
      </w:r>
    </w:p>
    <w:p w14:paraId="7C9BCA5E" w14:textId="4D7CF70F" w:rsidR="0007747B" w:rsidRPr="009D0A21" w:rsidRDefault="00E605D0" w:rsidP="0007747B">
      <w:pPr>
        <w:pStyle w:val="CoverDate"/>
        <w:rPr>
          <w:lang w:val="en-AU"/>
        </w:rPr>
      </w:pPr>
      <w:r>
        <w:rPr>
          <w:lang w:val="en-AU"/>
        </w:rPr>
        <w:t>4</w:t>
      </w:r>
      <w:r w:rsidR="007F2A04">
        <w:rPr>
          <w:lang w:val="en-AU"/>
        </w:rPr>
        <w:t xml:space="preserve"> </w:t>
      </w:r>
      <w:r w:rsidR="0067399E">
        <w:rPr>
          <w:lang w:val="en-AU"/>
        </w:rPr>
        <w:t>May</w:t>
      </w:r>
      <w:r w:rsidR="007F2A04">
        <w:rPr>
          <w:lang w:val="en-AU"/>
        </w:rPr>
        <w:t xml:space="preserve"> 2023</w:t>
      </w:r>
    </w:p>
    <w:p w14:paraId="7FAF6CCF" w14:textId="77777777" w:rsidR="00844D85" w:rsidRPr="009D0A21" w:rsidRDefault="00844D85" w:rsidP="00861324"/>
    <w:p w14:paraId="07EE3A5D" w14:textId="77777777" w:rsidR="00B235F9" w:rsidRPr="009D0A21" w:rsidRDefault="00B235F9">
      <w:pPr>
        <w:spacing w:after="0" w:line="240" w:lineRule="auto"/>
        <w:sectPr w:rsidR="00B235F9" w:rsidRPr="009D0A21" w:rsidSect="0082634B">
          <w:headerReference w:type="default" r:id="rId8"/>
          <w:footerReference w:type="default" r:id="rId9"/>
          <w:headerReference w:type="first" r:id="rId10"/>
          <w:pgSz w:w="11906" w:h="16838" w:code="9"/>
          <w:pgMar w:top="1276" w:right="1134" w:bottom="1440" w:left="1701" w:header="709" w:footer="953" w:gutter="0"/>
          <w:cols w:space="708"/>
          <w:titlePg/>
          <w:docGrid w:linePitch="360"/>
        </w:sectPr>
      </w:pPr>
    </w:p>
    <w:p w14:paraId="472FEFE5" w14:textId="1BBD8092" w:rsidR="00F406C5" w:rsidRPr="00A36164" w:rsidRDefault="00BF625B" w:rsidP="00F406C5">
      <w:pPr>
        <w:pStyle w:val="ImprintDetals"/>
        <w:spacing w:before="11400" w:line="360" w:lineRule="auto"/>
      </w:pPr>
      <w:r w:rsidRPr="001F1165">
        <w:rPr>
          <w:noProof/>
          <w:lang w:eastAsia="en-AU"/>
        </w:rPr>
        <w:lastRenderedPageBreak/>
        <w:drawing>
          <wp:inline distT="0" distB="0" distL="0" distR="0" wp14:anchorId="4FFA12DE" wp14:editId="606CBC21">
            <wp:extent cx="2038402" cy="720000"/>
            <wp:effectExtent l="0" t="0" r="0" b="4445"/>
            <wp:docPr id="13" name="Picture 13" descr="Australian Data and Insights Association (ADIA) Trust mark member.">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ustralian Data and Insights Association (ADIA) Trust mark member.">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402" cy="720000"/>
                    </a:xfrm>
                    <a:prstGeom prst="rect">
                      <a:avLst/>
                    </a:prstGeom>
                    <a:noFill/>
                    <a:ln>
                      <a:noFill/>
                    </a:ln>
                  </pic:spPr>
                </pic:pic>
              </a:graphicData>
            </a:graphic>
          </wp:inline>
        </w:drawing>
      </w:r>
      <w:r w:rsidR="001F1165" w:rsidRPr="001F1165">
        <w:rPr>
          <w:noProof/>
          <w:lang w:eastAsia="en-AU"/>
        </w:rPr>
        <w:drawing>
          <wp:inline distT="0" distB="0" distL="0" distR="0" wp14:anchorId="5E71259A" wp14:editId="4121CE12">
            <wp:extent cx="1079500" cy="1079500"/>
            <wp:effectExtent l="0" t="0" r="0" b="0"/>
            <wp:docPr id="9" name="Picture 9" descr="ISO 20252 accreditation mark.">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SO 20252 accreditation mark.">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r w:rsidR="00F406C5" w:rsidRPr="00A36164">
        <w:br/>
      </w:r>
      <w:r w:rsidR="00F406C5" w:rsidRPr="00A36164">
        <w:rPr>
          <w:rFonts w:ascii="Univers Com 45 Light" w:hAnsi="Univers Com 45 Light"/>
        </w:rPr>
        <w:t>© Cultural &amp; Indigenous Research Centre Australia</w:t>
      </w:r>
      <w:r w:rsidR="00F406C5" w:rsidRPr="00A36164">
        <w:rPr>
          <w:rFonts w:ascii="Univers Com 45 Light" w:hAnsi="Univers Com 45 Light"/>
        </w:rPr>
        <w:br/>
        <w:t xml:space="preserve">Developed by the Cultural &amp; Indigenous Research Centre Australia </w:t>
      </w:r>
      <w:r w:rsidR="001F1165">
        <w:rPr>
          <w:rFonts w:ascii="Univers Com 45 Light" w:hAnsi="Univers Com 45 Light"/>
        </w:rPr>
        <w:t>202</w:t>
      </w:r>
      <w:r w:rsidR="0007747B">
        <w:rPr>
          <w:rFonts w:ascii="Univers Com 45 Light" w:hAnsi="Univers Com 45 Light"/>
        </w:rPr>
        <w:t>3</w:t>
      </w:r>
      <w:r w:rsidR="00F406C5" w:rsidRPr="00A36164">
        <w:br/>
        <w:t xml:space="preserve">All research conducted by CIRCA for this project was in compliance with </w:t>
      </w:r>
      <w:r w:rsidR="001F1165" w:rsidRPr="008B78AA">
        <w:t>ISO 20252:2019 Market, Opinion and Social Research</w:t>
      </w:r>
    </w:p>
    <w:p w14:paraId="1512F172" w14:textId="77777777" w:rsidR="00F12C8E" w:rsidRPr="009D0A21" w:rsidRDefault="00F12C8E" w:rsidP="00412084">
      <w:r w:rsidRPr="009D0A21">
        <w:lastRenderedPageBreak/>
        <w:br w:type="page"/>
      </w:r>
    </w:p>
    <w:p w14:paraId="12C5604F" w14:textId="77777777" w:rsidR="00110B0F" w:rsidRDefault="00110B0F" w:rsidP="00110B0F">
      <w:pPr>
        <w:pStyle w:val="ContentsHeading"/>
      </w:pPr>
      <w:r>
        <w:lastRenderedPageBreak/>
        <w:t>Acknowledgements</w:t>
      </w:r>
    </w:p>
    <w:p w14:paraId="390C6B86" w14:textId="77777777" w:rsidR="00110B0F" w:rsidRDefault="00110B0F" w:rsidP="00110B0F">
      <w:r>
        <w:t xml:space="preserve">We acknowledge Aboriginal and Torres Strait Islander peoples as the Traditional Custodians of the lands </w:t>
      </w:r>
      <w:r w:rsidRPr="00521667">
        <w:t>and waters in which we work and the knowledge-holders of the oldest continuous cultures in the world.</w:t>
      </w:r>
      <w:r>
        <w:t xml:space="preserve"> We pay our respects to Elders past and present.</w:t>
      </w:r>
    </w:p>
    <w:p w14:paraId="2C85CFB1" w14:textId="77777777" w:rsidR="00CB709E" w:rsidRDefault="00CB709E" w:rsidP="00EA2C36"/>
    <w:p w14:paraId="247D953D" w14:textId="77777777" w:rsidR="00EA2C36" w:rsidRDefault="00EA2C36" w:rsidP="00EA2C36"/>
    <w:p w14:paraId="00D31A22" w14:textId="77777777" w:rsidR="00EA2C36" w:rsidRPr="009D0A21" w:rsidRDefault="00EA2C36" w:rsidP="00EA2C36"/>
    <w:p w14:paraId="3D9E3D14" w14:textId="77777777" w:rsidR="005F3A4C" w:rsidRPr="009D0A21" w:rsidRDefault="005F3A4C">
      <w:pPr>
        <w:spacing w:after="0" w:line="240" w:lineRule="auto"/>
        <w:rPr>
          <w:rFonts w:asciiTheme="majorHAnsi" w:hAnsiTheme="majorHAnsi"/>
          <w:caps/>
          <w:color w:val="DA291C" w:themeColor="background2"/>
          <w:sz w:val="48"/>
          <w:szCs w:val="40"/>
        </w:rPr>
      </w:pPr>
      <w:r w:rsidRPr="009D0A21">
        <w:br w:type="page"/>
      </w:r>
    </w:p>
    <w:p w14:paraId="7A9A00FB" w14:textId="77777777" w:rsidR="00CB2E67" w:rsidRPr="009D0A21" w:rsidRDefault="00D97CE2" w:rsidP="009B05F9">
      <w:pPr>
        <w:pStyle w:val="ContentsHeading"/>
      </w:pPr>
      <w:r w:rsidRPr="009D0A21">
        <w:lastRenderedPageBreak/>
        <w:t>CONTENTS</w:t>
      </w:r>
    </w:p>
    <w:sdt>
      <w:sdtPr>
        <w:id w:val="1160735362"/>
        <w:docPartObj>
          <w:docPartGallery w:val="Table of Contents"/>
          <w:docPartUnique/>
        </w:docPartObj>
      </w:sdtPr>
      <w:sdtEndPr>
        <w:rPr>
          <w:noProof/>
        </w:rPr>
      </w:sdtEndPr>
      <w:sdtContent>
        <w:p w14:paraId="62C9D06D" w14:textId="470A575B" w:rsidR="004768D9" w:rsidRDefault="00D91AC6">
          <w:pPr>
            <w:pStyle w:val="TOC1"/>
            <w:rPr>
              <w:rFonts w:eastAsiaTheme="minorEastAsia" w:cstheme="minorBidi"/>
              <w:noProof/>
              <w:kern w:val="2"/>
              <w:sz w:val="22"/>
              <w:lang w:eastAsia="en-AU"/>
              <w14:ligatures w14:val="standardContextual"/>
            </w:rPr>
          </w:pPr>
          <w:r>
            <w:fldChar w:fldCharType="begin"/>
          </w:r>
          <w:r>
            <w:instrText xml:space="preserve"> TOC \o "1-2" \h \z \u </w:instrText>
          </w:r>
          <w:r>
            <w:fldChar w:fldCharType="separate"/>
          </w:r>
          <w:hyperlink w:anchor="_Toc147910393" w:history="1">
            <w:r w:rsidR="004768D9" w:rsidRPr="00BA391E">
              <w:rPr>
                <w:rStyle w:val="Hyperlink"/>
                <w:rFonts w:ascii="Koblenz Serial Medium" w:hAnsi="Koblenz Serial Medium"/>
                <w:noProof/>
                <w:position w:val="-2"/>
              </w:rPr>
              <w:t>1.</w:t>
            </w:r>
            <w:r w:rsidR="004768D9">
              <w:rPr>
                <w:rFonts w:eastAsiaTheme="minorEastAsia" w:cstheme="minorBidi"/>
                <w:noProof/>
                <w:kern w:val="2"/>
                <w:sz w:val="22"/>
                <w:lang w:eastAsia="en-AU"/>
                <w14:ligatures w14:val="standardContextual"/>
              </w:rPr>
              <w:tab/>
            </w:r>
            <w:r w:rsidR="004768D9" w:rsidRPr="00BA391E">
              <w:rPr>
                <w:rStyle w:val="Hyperlink"/>
                <w:noProof/>
              </w:rPr>
              <w:t>Executive summary</w:t>
            </w:r>
            <w:r w:rsidR="004768D9">
              <w:rPr>
                <w:noProof/>
                <w:webHidden/>
              </w:rPr>
              <w:tab/>
            </w:r>
            <w:r w:rsidR="004768D9">
              <w:rPr>
                <w:noProof/>
                <w:webHidden/>
              </w:rPr>
              <w:fldChar w:fldCharType="begin"/>
            </w:r>
            <w:r w:rsidR="004768D9">
              <w:rPr>
                <w:noProof/>
                <w:webHidden/>
              </w:rPr>
              <w:instrText xml:space="preserve"> PAGEREF _Toc147910393 \h </w:instrText>
            </w:r>
            <w:r w:rsidR="004768D9">
              <w:rPr>
                <w:noProof/>
                <w:webHidden/>
              </w:rPr>
            </w:r>
            <w:r w:rsidR="004768D9">
              <w:rPr>
                <w:noProof/>
                <w:webHidden/>
              </w:rPr>
              <w:fldChar w:fldCharType="separate"/>
            </w:r>
            <w:r w:rsidR="004768D9">
              <w:rPr>
                <w:noProof/>
                <w:webHidden/>
              </w:rPr>
              <w:t>1</w:t>
            </w:r>
            <w:r w:rsidR="004768D9">
              <w:rPr>
                <w:noProof/>
                <w:webHidden/>
              </w:rPr>
              <w:fldChar w:fldCharType="end"/>
            </w:r>
          </w:hyperlink>
        </w:p>
        <w:p w14:paraId="734DDF34" w14:textId="0B129071" w:rsidR="004768D9" w:rsidRDefault="004D727B">
          <w:pPr>
            <w:pStyle w:val="TOC1"/>
            <w:rPr>
              <w:rFonts w:eastAsiaTheme="minorEastAsia" w:cstheme="minorBidi"/>
              <w:noProof/>
              <w:kern w:val="2"/>
              <w:sz w:val="22"/>
              <w:lang w:eastAsia="en-AU"/>
              <w14:ligatures w14:val="standardContextual"/>
            </w:rPr>
          </w:pPr>
          <w:hyperlink w:anchor="_Toc147910394" w:history="1">
            <w:r w:rsidR="004768D9" w:rsidRPr="00BA391E">
              <w:rPr>
                <w:rStyle w:val="Hyperlink"/>
                <w:rFonts w:ascii="Koblenz Serial Medium" w:hAnsi="Koblenz Serial Medium"/>
                <w:noProof/>
                <w:position w:val="-2"/>
              </w:rPr>
              <w:t>2.</w:t>
            </w:r>
            <w:r w:rsidR="004768D9">
              <w:rPr>
                <w:rFonts w:eastAsiaTheme="minorEastAsia" w:cstheme="minorBidi"/>
                <w:noProof/>
                <w:kern w:val="2"/>
                <w:sz w:val="22"/>
                <w:lang w:eastAsia="en-AU"/>
                <w14:ligatures w14:val="standardContextual"/>
              </w:rPr>
              <w:tab/>
            </w:r>
            <w:r w:rsidR="004768D9" w:rsidRPr="00BA391E">
              <w:rPr>
                <w:rStyle w:val="Hyperlink"/>
                <w:noProof/>
              </w:rPr>
              <w:t>Introduction</w:t>
            </w:r>
            <w:r w:rsidR="004768D9">
              <w:rPr>
                <w:noProof/>
                <w:webHidden/>
              </w:rPr>
              <w:tab/>
            </w:r>
            <w:r w:rsidR="004768D9">
              <w:rPr>
                <w:noProof/>
                <w:webHidden/>
              </w:rPr>
              <w:fldChar w:fldCharType="begin"/>
            </w:r>
            <w:r w:rsidR="004768D9">
              <w:rPr>
                <w:noProof/>
                <w:webHidden/>
              </w:rPr>
              <w:instrText xml:space="preserve"> PAGEREF _Toc147910394 \h </w:instrText>
            </w:r>
            <w:r w:rsidR="004768D9">
              <w:rPr>
                <w:noProof/>
                <w:webHidden/>
              </w:rPr>
            </w:r>
            <w:r w:rsidR="004768D9">
              <w:rPr>
                <w:noProof/>
                <w:webHidden/>
              </w:rPr>
              <w:fldChar w:fldCharType="separate"/>
            </w:r>
            <w:r w:rsidR="004768D9">
              <w:rPr>
                <w:noProof/>
                <w:webHidden/>
              </w:rPr>
              <w:t>6</w:t>
            </w:r>
            <w:r w:rsidR="004768D9">
              <w:rPr>
                <w:noProof/>
                <w:webHidden/>
              </w:rPr>
              <w:fldChar w:fldCharType="end"/>
            </w:r>
          </w:hyperlink>
        </w:p>
        <w:p w14:paraId="0D78C687" w14:textId="0BB330AC" w:rsidR="004768D9" w:rsidRDefault="004D727B">
          <w:pPr>
            <w:pStyle w:val="TOC1"/>
            <w:rPr>
              <w:rFonts w:eastAsiaTheme="minorEastAsia" w:cstheme="minorBidi"/>
              <w:noProof/>
              <w:kern w:val="2"/>
              <w:sz w:val="22"/>
              <w:lang w:eastAsia="en-AU"/>
              <w14:ligatures w14:val="standardContextual"/>
            </w:rPr>
          </w:pPr>
          <w:hyperlink w:anchor="_Toc147910395" w:history="1">
            <w:r w:rsidR="004768D9" w:rsidRPr="00BA391E">
              <w:rPr>
                <w:rStyle w:val="Hyperlink"/>
                <w:rFonts w:ascii="Koblenz Serial Medium" w:hAnsi="Koblenz Serial Medium"/>
                <w:noProof/>
                <w:position w:val="-2"/>
              </w:rPr>
              <w:t>3.</w:t>
            </w:r>
            <w:r w:rsidR="004768D9">
              <w:rPr>
                <w:rFonts w:eastAsiaTheme="minorEastAsia" w:cstheme="minorBidi"/>
                <w:noProof/>
                <w:kern w:val="2"/>
                <w:sz w:val="22"/>
                <w:lang w:eastAsia="en-AU"/>
                <w14:ligatures w14:val="standardContextual"/>
              </w:rPr>
              <w:tab/>
            </w:r>
            <w:r w:rsidR="004768D9" w:rsidRPr="00BA391E">
              <w:rPr>
                <w:rStyle w:val="Hyperlink"/>
                <w:noProof/>
              </w:rPr>
              <w:t>Methodology</w:t>
            </w:r>
            <w:r w:rsidR="004768D9">
              <w:rPr>
                <w:noProof/>
                <w:webHidden/>
              </w:rPr>
              <w:tab/>
            </w:r>
            <w:r w:rsidR="004768D9">
              <w:rPr>
                <w:noProof/>
                <w:webHidden/>
              </w:rPr>
              <w:fldChar w:fldCharType="begin"/>
            </w:r>
            <w:r w:rsidR="004768D9">
              <w:rPr>
                <w:noProof/>
                <w:webHidden/>
              </w:rPr>
              <w:instrText xml:space="preserve"> PAGEREF _Toc147910395 \h </w:instrText>
            </w:r>
            <w:r w:rsidR="004768D9">
              <w:rPr>
                <w:noProof/>
                <w:webHidden/>
              </w:rPr>
            </w:r>
            <w:r w:rsidR="004768D9">
              <w:rPr>
                <w:noProof/>
                <w:webHidden/>
              </w:rPr>
              <w:fldChar w:fldCharType="separate"/>
            </w:r>
            <w:r w:rsidR="004768D9">
              <w:rPr>
                <w:noProof/>
                <w:webHidden/>
              </w:rPr>
              <w:t>8</w:t>
            </w:r>
            <w:r w:rsidR="004768D9">
              <w:rPr>
                <w:noProof/>
                <w:webHidden/>
              </w:rPr>
              <w:fldChar w:fldCharType="end"/>
            </w:r>
          </w:hyperlink>
        </w:p>
        <w:p w14:paraId="6D64ED9A" w14:textId="101D801C" w:rsidR="004768D9" w:rsidRDefault="004D727B">
          <w:pPr>
            <w:pStyle w:val="TOC2"/>
            <w:rPr>
              <w:rFonts w:eastAsiaTheme="minorEastAsia" w:cstheme="minorBidi"/>
              <w:noProof/>
              <w:kern w:val="2"/>
              <w:lang w:eastAsia="en-AU"/>
              <w14:ligatures w14:val="standardContextual"/>
            </w:rPr>
          </w:pPr>
          <w:hyperlink w:anchor="_Toc147910396" w:history="1">
            <w:r w:rsidR="004768D9" w:rsidRPr="00BA391E">
              <w:rPr>
                <w:rStyle w:val="Hyperlink"/>
                <w:noProof/>
              </w:rPr>
              <w:t>3.1</w:t>
            </w:r>
            <w:r w:rsidR="004768D9">
              <w:rPr>
                <w:rFonts w:eastAsiaTheme="minorEastAsia" w:cstheme="minorBidi"/>
                <w:noProof/>
                <w:kern w:val="2"/>
                <w:lang w:eastAsia="en-AU"/>
                <w14:ligatures w14:val="standardContextual"/>
              </w:rPr>
              <w:tab/>
            </w:r>
            <w:r w:rsidR="004768D9" w:rsidRPr="00BA391E">
              <w:rPr>
                <w:rStyle w:val="Hyperlink"/>
                <w:noProof/>
              </w:rPr>
              <w:t>Focus groups</w:t>
            </w:r>
            <w:r w:rsidR="004768D9">
              <w:rPr>
                <w:noProof/>
                <w:webHidden/>
              </w:rPr>
              <w:tab/>
            </w:r>
            <w:r w:rsidR="004768D9">
              <w:rPr>
                <w:noProof/>
                <w:webHidden/>
              </w:rPr>
              <w:fldChar w:fldCharType="begin"/>
            </w:r>
            <w:r w:rsidR="004768D9">
              <w:rPr>
                <w:noProof/>
                <w:webHidden/>
              </w:rPr>
              <w:instrText xml:space="preserve"> PAGEREF _Toc147910396 \h </w:instrText>
            </w:r>
            <w:r w:rsidR="004768D9">
              <w:rPr>
                <w:noProof/>
                <w:webHidden/>
              </w:rPr>
            </w:r>
            <w:r w:rsidR="004768D9">
              <w:rPr>
                <w:noProof/>
                <w:webHidden/>
              </w:rPr>
              <w:fldChar w:fldCharType="separate"/>
            </w:r>
            <w:r w:rsidR="004768D9">
              <w:rPr>
                <w:noProof/>
                <w:webHidden/>
              </w:rPr>
              <w:t>9</w:t>
            </w:r>
            <w:r w:rsidR="004768D9">
              <w:rPr>
                <w:noProof/>
                <w:webHidden/>
              </w:rPr>
              <w:fldChar w:fldCharType="end"/>
            </w:r>
          </w:hyperlink>
        </w:p>
        <w:p w14:paraId="53FC0E80" w14:textId="752C1D65" w:rsidR="004768D9" w:rsidRDefault="004D727B">
          <w:pPr>
            <w:pStyle w:val="TOC2"/>
            <w:rPr>
              <w:rFonts w:eastAsiaTheme="minorEastAsia" w:cstheme="minorBidi"/>
              <w:noProof/>
              <w:kern w:val="2"/>
              <w:lang w:eastAsia="en-AU"/>
              <w14:ligatures w14:val="standardContextual"/>
            </w:rPr>
          </w:pPr>
          <w:hyperlink w:anchor="_Toc147910397" w:history="1">
            <w:r w:rsidR="004768D9" w:rsidRPr="00BA391E">
              <w:rPr>
                <w:rStyle w:val="Hyperlink"/>
                <w:noProof/>
              </w:rPr>
              <w:t>3.2</w:t>
            </w:r>
            <w:r w:rsidR="004768D9">
              <w:rPr>
                <w:rFonts w:eastAsiaTheme="minorEastAsia" w:cstheme="minorBidi"/>
                <w:noProof/>
                <w:kern w:val="2"/>
                <w:lang w:eastAsia="en-AU"/>
                <w14:ligatures w14:val="standardContextual"/>
              </w:rPr>
              <w:tab/>
            </w:r>
            <w:r w:rsidR="004768D9" w:rsidRPr="00BA391E">
              <w:rPr>
                <w:rStyle w:val="Hyperlink"/>
                <w:noProof/>
              </w:rPr>
              <w:t>Data analysis</w:t>
            </w:r>
            <w:r w:rsidR="004768D9">
              <w:rPr>
                <w:noProof/>
                <w:webHidden/>
              </w:rPr>
              <w:tab/>
            </w:r>
            <w:r w:rsidR="004768D9">
              <w:rPr>
                <w:noProof/>
                <w:webHidden/>
              </w:rPr>
              <w:fldChar w:fldCharType="begin"/>
            </w:r>
            <w:r w:rsidR="004768D9">
              <w:rPr>
                <w:noProof/>
                <w:webHidden/>
              </w:rPr>
              <w:instrText xml:space="preserve"> PAGEREF _Toc147910397 \h </w:instrText>
            </w:r>
            <w:r w:rsidR="004768D9">
              <w:rPr>
                <w:noProof/>
                <w:webHidden/>
              </w:rPr>
            </w:r>
            <w:r w:rsidR="004768D9">
              <w:rPr>
                <w:noProof/>
                <w:webHidden/>
              </w:rPr>
              <w:fldChar w:fldCharType="separate"/>
            </w:r>
            <w:r w:rsidR="004768D9">
              <w:rPr>
                <w:noProof/>
                <w:webHidden/>
              </w:rPr>
              <w:t>9</w:t>
            </w:r>
            <w:r w:rsidR="004768D9">
              <w:rPr>
                <w:noProof/>
                <w:webHidden/>
              </w:rPr>
              <w:fldChar w:fldCharType="end"/>
            </w:r>
          </w:hyperlink>
        </w:p>
        <w:p w14:paraId="07C53186" w14:textId="0DEF7792" w:rsidR="004768D9" w:rsidRDefault="004D727B">
          <w:pPr>
            <w:pStyle w:val="TOC2"/>
            <w:rPr>
              <w:rFonts w:eastAsiaTheme="minorEastAsia" w:cstheme="minorBidi"/>
              <w:noProof/>
              <w:kern w:val="2"/>
              <w:lang w:eastAsia="en-AU"/>
              <w14:ligatures w14:val="standardContextual"/>
            </w:rPr>
          </w:pPr>
          <w:hyperlink w:anchor="_Toc147910398" w:history="1">
            <w:r w:rsidR="004768D9" w:rsidRPr="00BA391E">
              <w:rPr>
                <w:rStyle w:val="Hyperlink"/>
                <w:noProof/>
              </w:rPr>
              <w:t>3.3</w:t>
            </w:r>
            <w:r w:rsidR="004768D9">
              <w:rPr>
                <w:rFonts w:eastAsiaTheme="minorEastAsia" w:cstheme="minorBidi"/>
                <w:noProof/>
                <w:kern w:val="2"/>
                <w:lang w:eastAsia="en-AU"/>
                <w14:ligatures w14:val="standardContextual"/>
              </w:rPr>
              <w:tab/>
            </w:r>
            <w:r w:rsidR="004768D9" w:rsidRPr="00BA391E">
              <w:rPr>
                <w:rStyle w:val="Hyperlink"/>
                <w:noProof/>
              </w:rPr>
              <w:t>Limitations</w:t>
            </w:r>
            <w:r w:rsidR="004768D9">
              <w:rPr>
                <w:noProof/>
                <w:webHidden/>
              </w:rPr>
              <w:tab/>
            </w:r>
            <w:r w:rsidR="004768D9">
              <w:rPr>
                <w:noProof/>
                <w:webHidden/>
              </w:rPr>
              <w:fldChar w:fldCharType="begin"/>
            </w:r>
            <w:r w:rsidR="004768D9">
              <w:rPr>
                <w:noProof/>
                <w:webHidden/>
              </w:rPr>
              <w:instrText xml:space="preserve"> PAGEREF _Toc147910398 \h </w:instrText>
            </w:r>
            <w:r w:rsidR="004768D9">
              <w:rPr>
                <w:noProof/>
                <w:webHidden/>
              </w:rPr>
            </w:r>
            <w:r w:rsidR="004768D9">
              <w:rPr>
                <w:noProof/>
                <w:webHidden/>
              </w:rPr>
              <w:fldChar w:fldCharType="separate"/>
            </w:r>
            <w:r w:rsidR="004768D9">
              <w:rPr>
                <w:noProof/>
                <w:webHidden/>
              </w:rPr>
              <w:t>9</w:t>
            </w:r>
            <w:r w:rsidR="004768D9">
              <w:rPr>
                <w:noProof/>
                <w:webHidden/>
              </w:rPr>
              <w:fldChar w:fldCharType="end"/>
            </w:r>
          </w:hyperlink>
        </w:p>
        <w:p w14:paraId="3309A02C" w14:textId="388440EE" w:rsidR="004768D9" w:rsidRDefault="004D727B">
          <w:pPr>
            <w:pStyle w:val="TOC2"/>
            <w:rPr>
              <w:rFonts w:eastAsiaTheme="minorEastAsia" w:cstheme="minorBidi"/>
              <w:noProof/>
              <w:kern w:val="2"/>
              <w:lang w:eastAsia="en-AU"/>
              <w14:ligatures w14:val="standardContextual"/>
            </w:rPr>
          </w:pPr>
          <w:hyperlink w:anchor="_Toc147910399" w:history="1">
            <w:r w:rsidR="004768D9" w:rsidRPr="00BA391E">
              <w:rPr>
                <w:rStyle w:val="Hyperlink"/>
                <w:noProof/>
              </w:rPr>
              <w:t>3.4</w:t>
            </w:r>
            <w:r w:rsidR="004768D9">
              <w:rPr>
                <w:rFonts w:eastAsiaTheme="minorEastAsia" w:cstheme="minorBidi"/>
                <w:noProof/>
                <w:kern w:val="2"/>
                <w:lang w:eastAsia="en-AU"/>
                <w14:ligatures w14:val="standardContextual"/>
              </w:rPr>
              <w:tab/>
            </w:r>
            <w:r w:rsidR="004768D9" w:rsidRPr="00BA391E">
              <w:rPr>
                <w:rStyle w:val="Hyperlink"/>
                <w:noProof/>
              </w:rPr>
              <w:t>Lessons learned</w:t>
            </w:r>
            <w:r w:rsidR="004768D9">
              <w:rPr>
                <w:noProof/>
                <w:webHidden/>
              </w:rPr>
              <w:tab/>
            </w:r>
            <w:r w:rsidR="004768D9">
              <w:rPr>
                <w:noProof/>
                <w:webHidden/>
              </w:rPr>
              <w:fldChar w:fldCharType="begin"/>
            </w:r>
            <w:r w:rsidR="004768D9">
              <w:rPr>
                <w:noProof/>
                <w:webHidden/>
              </w:rPr>
              <w:instrText xml:space="preserve"> PAGEREF _Toc147910399 \h </w:instrText>
            </w:r>
            <w:r w:rsidR="004768D9">
              <w:rPr>
                <w:noProof/>
                <w:webHidden/>
              </w:rPr>
            </w:r>
            <w:r w:rsidR="004768D9">
              <w:rPr>
                <w:noProof/>
                <w:webHidden/>
              </w:rPr>
              <w:fldChar w:fldCharType="separate"/>
            </w:r>
            <w:r w:rsidR="004768D9">
              <w:rPr>
                <w:noProof/>
                <w:webHidden/>
              </w:rPr>
              <w:t>10</w:t>
            </w:r>
            <w:r w:rsidR="004768D9">
              <w:rPr>
                <w:noProof/>
                <w:webHidden/>
              </w:rPr>
              <w:fldChar w:fldCharType="end"/>
            </w:r>
          </w:hyperlink>
        </w:p>
        <w:p w14:paraId="13527E32" w14:textId="2B23704E" w:rsidR="004768D9" w:rsidRDefault="004D727B">
          <w:pPr>
            <w:pStyle w:val="TOC1"/>
            <w:rPr>
              <w:rFonts w:eastAsiaTheme="minorEastAsia" w:cstheme="minorBidi"/>
              <w:noProof/>
              <w:kern w:val="2"/>
              <w:sz w:val="22"/>
              <w:lang w:eastAsia="en-AU"/>
              <w14:ligatures w14:val="standardContextual"/>
            </w:rPr>
          </w:pPr>
          <w:hyperlink w:anchor="_Toc147910400" w:history="1">
            <w:r w:rsidR="004768D9" w:rsidRPr="00BA391E">
              <w:rPr>
                <w:rStyle w:val="Hyperlink"/>
                <w:rFonts w:ascii="Koblenz Serial Medium" w:hAnsi="Koblenz Serial Medium"/>
                <w:noProof/>
                <w:position w:val="-2"/>
              </w:rPr>
              <w:t>4.</w:t>
            </w:r>
            <w:r w:rsidR="004768D9">
              <w:rPr>
                <w:rFonts w:eastAsiaTheme="minorEastAsia" w:cstheme="minorBidi"/>
                <w:noProof/>
                <w:kern w:val="2"/>
                <w:sz w:val="22"/>
                <w:lang w:eastAsia="en-AU"/>
                <w14:ligatures w14:val="standardContextual"/>
              </w:rPr>
              <w:tab/>
            </w:r>
            <w:r w:rsidR="004768D9" w:rsidRPr="00BA391E">
              <w:rPr>
                <w:rStyle w:val="Hyperlink"/>
                <w:noProof/>
              </w:rPr>
              <w:t>Findings</w:t>
            </w:r>
            <w:r w:rsidR="004768D9">
              <w:rPr>
                <w:noProof/>
                <w:webHidden/>
              </w:rPr>
              <w:tab/>
            </w:r>
            <w:r w:rsidR="004768D9">
              <w:rPr>
                <w:noProof/>
                <w:webHidden/>
              </w:rPr>
              <w:fldChar w:fldCharType="begin"/>
            </w:r>
            <w:r w:rsidR="004768D9">
              <w:rPr>
                <w:noProof/>
                <w:webHidden/>
              </w:rPr>
              <w:instrText xml:space="preserve"> PAGEREF _Toc147910400 \h </w:instrText>
            </w:r>
            <w:r w:rsidR="004768D9">
              <w:rPr>
                <w:noProof/>
                <w:webHidden/>
              </w:rPr>
            </w:r>
            <w:r w:rsidR="004768D9">
              <w:rPr>
                <w:noProof/>
                <w:webHidden/>
              </w:rPr>
              <w:fldChar w:fldCharType="separate"/>
            </w:r>
            <w:r w:rsidR="004768D9">
              <w:rPr>
                <w:noProof/>
                <w:webHidden/>
              </w:rPr>
              <w:t>11</w:t>
            </w:r>
            <w:r w:rsidR="004768D9">
              <w:rPr>
                <w:noProof/>
                <w:webHidden/>
              </w:rPr>
              <w:fldChar w:fldCharType="end"/>
            </w:r>
          </w:hyperlink>
        </w:p>
        <w:p w14:paraId="5EBFFF35" w14:textId="51434012" w:rsidR="004768D9" w:rsidRDefault="004D727B">
          <w:pPr>
            <w:pStyle w:val="TOC2"/>
            <w:rPr>
              <w:rFonts w:eastAsiaTheme="minorEastAsia" w:cstheme="minorBidi"/>
              <w:noProof/>
              <w:kern w:val="2"/>
              <w:lang w:eastAsia="en-AU"/>
              <w14:ligatures w14:val="standardContextual"/>
            </w:rPr>
          </w:pPr>
          <w:hyperlink w:anchor="_Toc147910401" w:history="1">
            <w:r w:rsidR="004768D9" w:rsidRPr="00BA391E">
              <w:rPr>
                <w:rStyle w:val="Hyperlink"/>
                <w:noProof/>
              </w:rPr>
              <w:t>4.1</w:t>
            </w:r>
            <w:r w:rsidR="004768D9">
              <w:rPr>
                <w:rFonts w:eastAsiaTheme="minorEastAsia" w:cstheme="minorBidi"/>
                <w:noProof/>
                <w:kern w:val="2"/>
                <w:lang w:eastAsia="en-AU"/>
                <w14:ligatures w14:val="standardContextual"/>
              </w:rPr>
              <w:tab/>
            </w:r>
            <w:r w:rsidR="004768D9" w:rsidRPr="00BA391E">
              <w:rPr>
                <w:rStyle w:val="Hyperlink"/>
                <w:noProof/>
              </w:rPr>
              <w:t>What are the physical design and cultural features needed within emergency accommodation, to support victim-survivor women and children from First Nations, CALD and disability backgrounds?</w:t>
            </w:r>
            <w:r w:rsidR="004768D9">
              <w:rPr>
                <w:noProof/>
                <w:webHidden/>
              </w:rPr>
              <w:tab/>
            </w:r>
            <w:r w:rsidR="004768D9">
              <w:rPr>
                <w:noProof/>
                <w:webHidden/>
              </w:rPr>
              <w:fldChar w:fldCharType="begin"/>
            </w:r>
            <w:r w:rsidR="004768D9">
              <w:rPr>
                <w:noProof/>
                <w:webHidden/>
              </w:rPr>
              <w:instrText xml:space="preserve"> PAGEREF _Toc147910401 \h </w:instrText>
            </w:r>
            <w:r w:rsidR="004768D9">
              <w:rPr>
                <w:noProof/>
                <w:webHidden/>
              </w:rPr>
            </w:r>
            <w:r w:rsidR="004768D9">
              <w:rPr>
                <w:noProof/>
                <w:webHidden/>
              </w:rPr>
              <w:fldChar w:fldCharType="separate"/>
            </w:r>
            <w:r w:rsidR="004768D9">
              <w:rPr>
                <w:noProof/>
                <w:webHidden/>
              </w:rPr>
              <w:t>11</w:t>
            </w:r>
            <w:r w:rsidR="004768D9">
              <w:rPr>
                <w:noProof/>
                <w:webHidden/>
              </w:rPr>
              <w:fldChar w:fldCharType="end"/>
            </w:r>
          </w:hyperlink>
        </w:p>
        <w:p w14:paraId="06AE7331" w14:textId="5823DD5D" w:rsidR="004768D9" w:rsidRDefault="004D727B">
          <w:pPr>
            <w:pStyle w:val="TOC2"/>
            <w:rPr>
              <w:rFonts w:eastAsiaTheme="minorEastAsia" w:cstheme="minorBidi"/>
              <w:noProof/>
              <w:kern w:val="2"/>
              <w:lang w:eastAsia="en-AU"/>
              <w14:ligatures w14:val="standardContextual"/>
            </w:rPr>
          </w:pPr>
          <w:hyperlink w:anchor="_Toc147910402" w:history="1">
            <w:r w:rsidR="004768D9" w:rsidRPr="00BA391E">
              <w:rPr>
                <w:rStyle w:val="Hyperlink"/>
                <w:noProof/>
              </w:rPr>
              <w:t>4.2</w:t>
            </w:r>
            <w:r w:rsidR="004768D9">
              <w:rPr>
                <w:rFonts w:eastAsiaTheme="minorEastAsia" w:cstheme="minorBidi"/>
                <w:noProof/>
                <w:kern w:val="2"/>
                <w:lang w:eastAsia="en-AU"/>
                <w14:ligatures w14:val="standardContextual"/>
              </w:rPr>
              <w:tab/>
            </w:r>
            <w:r w:rsidR="004768D9" w:rsidRPr="00BA391E">
              <w:rPr>
                <w:rStyle w:val="Hyperlink"/>
                <w:noProof/>
              </w:rPr>
              <w:t>What other supports or services are needed to support victim-survivor women and children from First Nations, CALD and disability backgrounds when they are in emergency accommodation? Which are most critical and at what time points?</w:t>
            </w:r>
            <w:r w:rsidR="004768D9">
              <w:rPr>
                <w:noProof/>
                <w:webHidden/>
              </w:rPr>
              <w:tab/>
            </w:r>
            <w:r w:rsidR="004768D9">
              <w:rPr>
                <w:noProof/>
                <w:webHidden/>
              </w:rPr>
              <w:fldChar w:fldCharType="begin"/>
            </w:r>
            <w:r w:rsidR="004768D9">
              <w:rPr>
                <w:noProof/>
                <w:webHidden/>
              </w:rPr>
              <w:instrText xml:space="preserve"> PAGEREF _Toc147910402 \h </w:instrText>
            </w:r>
            <w:r w:rsidR="004768D9">
              <w:rPr>
                <w:noProof/>
                <w:webHidden/>
              </w:rPr>
            </w:r>
            <w:r w:rsidR="004768D9">
              <w:rPr>
                <w:noProof/>
                <w:webHidden/>
              </w:rPr>
              <w:fldChar w:fldCharType="separate"/>
            </w:r>
            <w:r w:rsidR="004768D9">
              <w:rPr>
                <w:noProof/>
                <w:webHidden/>
              </w:rPr>
              <w:t>17</w:t>
            </w:r>
            <w:r w:rsidR="004768D9">
              <w:rPr>
                <w:noProof/>
                <w:webHidden/>
              </w:rPr>
              <w:fldChar w:fldCharType="end"/>
            </w:r>
          </w:hyperlink>
        </w:p>
        <w:p w14:paraId="6D85D798" w14:textId="51422C07" w:rsidR="004768D9" w:rsidRDefault="004D727B">
          <w:pPr>
            <w:pStyle w:val="TOC2"/>
            <w:rPr>
              <w:rFonts w:eastAsiaTheme="minorEastAsia" w:cstheme="minorBidi"/>
              <w:noProof/>
              <w:kern w:val="2"/>
              <w:lang w:eastAsia="en-AU"/>
              <w14:ligatures w14:val="standardContextual"/>
            </w:rPr>
          </w:pPr>
          <w:hyperlink w:anchor="_Toc147910403" w:history="1">
            <w:r w:rsidR="004768D9" w:rsidRPr="00BA391E">
              <w:rPr>
                <w:rStyle w:val="Hyperlink"/>
                <w:noProof/>
              </w:rPr>
              <w:t>4.3</w:t>
            </w:r>
            <w:r w:rsidR="004768D9">
              <w:rPr>
                <w:rFonts w:eastAsiaTheme="minorEastAsia" w:cstheme="minorBidi"/>
                <w:noProof/>
                <w:kern w:val="2"/>
                <w:lang w:eastAsia="en-AU"/>
                <w14:ligatures w14:val="standardContextual"/>
              </w:rPr>
              <w:tab/>
            </w:r>
            <w:r w:rsidR="004768D9" w:rsidRPr="00BA391E">
              <w:rPr>
                <w:rStyle w:val="Hyperlink"/>
                <w:noProof/>
              </w:rPr>
              <w:t>What other services should be in proximity to the accommodation to fully support victim-survivor women and children from First Nations, CALD and disability backgrounds as they exit domestic and family violence?</w:t>
            </w:r>
            <w:r w:rsidR="004768D9">
              <w:rPr>
                <w:noProof/>
                <w:webHidden/>
              </w:rPr>
              <w:tab/>
            </w:r>
            <w:r w:rsidR="004768D9">
              <w:rPr>
                <w:noProof/>
                <w:webHidden/>
              </w:rPr>
              <w:fldChar w:fldCharType="begin"/>
            </w:r>
            <w:r w:rsidR="004768D9">
              <w:rPr>
                <w:noProof/>
                <w:webHidden/>
              </w:rPr>
              <w:instrText xml:space="preserve"> PAGEREF _Toc147910403 \h </w:instrText>
            </w:r>
            <w:r w:rsidR="004768D9">
              <w:rPr>
                <w:noProof/>
                <w:webHidden/>
              </w:rPr>
            </w:r>
            <w:r w:rsidR="004768D9">
              <w:rPr>
                <w:noProof/>
                <w:webHidden/>
              </w:rPr>
              <w:fldChar w:fldCharType="separate"/>
            </w:r>
            <w:r w:rsidR="004768D9">
              <w:rPr>
                <w:noProof/>
                <w:webHidden/>
              </w:rPr>
              <w:t>20</w:t>
            </w:r>
            <w:r w:rsidR="004768D9">
              <w:rPr>
                <w:noProof/>
                <w:webHidden/>
              </w:rPr>
              <w:fldChar w:fldCharType="end"/>
            </w:r>
          </w:hyperlink>
        </w:p>
        <w:p w14:paraId="42ACD648" w14:textId="6112D9AD" w:rsidR="004768D9" w:rsidRDefault="004D727B">
          <w:pPr>
            <w:pStyle w:val="TOC2"/>
            <w:rPr>
              <w:rFonts w:eastAsiaTheme="minorEastAsia" w:cstheme="minorBidi"/>
              <w:noProof/>
              <w:kern w:val="2"/>
              <w:lang w:eastAsia="en-AU"/>
              <w14:ligatures w14:val="standardContextual"/>
            </w:rPr>
          </w:pPr>
          <w:hyperlink w:anchor="_Toc147910404" w:history="1">
            <w:r w:rsidR="004768D9" w:rsidRPr="00BA391E">
              <w:rPr>
                <w:rStyle w:val="Hyperlink"/>
                <w:noProof/>
              </w:rPr>
              <w:t>4.4</w:t>
            </w:r>
            <w:r w:rsidR="004768D9">
              <w:rPr>
                <w:rFonts w:eastAsiaTheme="minorEastAsia" w:cstheme="minorBidi"/>
                <w:noProof/>
                <w:kern w:val="2"/>
                <w:lang w:eastAsia="en-AU"/>
                <w14:ligatures w14:val="standardContextual"/>
              </w:rPr>
              <w:tab/>
            </w:r>
            <w:r w:rsidR="004768D9" w:rsidRPr="00BA391E">
              <w:rPr>
                <w:rStyle w:val="Hyperlink"/>
                <w:noProof/>
              </w:rPr>
              <w:t>What should the grant application process require applicants demonstrate to ensure they will meet the needs of victim-survivor women and children from First Nations, CALD and disability backgrounds for emergency accommodation?</w:t>
            </w:r>
            <w:r w:rsidR="004768D9">
              <w:rPr>
                <w:noProof/>
                <w:webHidden/>
              </w:rPr>
              <w:tab/>
            </w:r>
            <w:r w:rsidR="004768D9">
              <w:rPr>
                <w:noProof/>
                <w:webHidden/>
              </w:rPr>
              <w:fldChar w:fldCharType="begin"/>
            </w:r>
            <w:r w:rsidR="004768D9">
              <w:rPr>
                <w:noProof/>
                <w:webHidden/>
              </w:rPr>
              <w:instrText xml:space="preserve"> PAGEREF _Toc147910404 \h </w:instrText>
            </w:r>
            <w:r w:rsidR="004768D9">
              <w:rPr>
                <w:noProof/>
                <w:webHidden/>
              </w:rPr>
            </w:r>
            <w:r w:rsidR="004768D9">
              <w:rPr>
                <w:noProof/>
                <w:webHidden/>
              </w:rPr>
              <w:fldChar w:fldCharType="separate"/>
            </w:r>
            <w:r w:rsidR="004768D9">
              <w:rPr>
                <w:noProof/>
                <w:webHidden/>
              </w:rPr>
              <w:t>22</w:t>
            </w:r>
            <w:r w:rsidR="004768D9">
              <w:rPr>
                <w:noProof/>
                <w:webHidden/>
              </w:rPr>
              <w:fldChar w:fldCharType="end"/>
            </w:r>
          </w:hyperlink>
        </w:p>
        <w:p w14:paraId="7BA56FEE" w14:textId="78AF2E61" w:rsidR="004768D9" w:rsidRDefault="004D727B">
          <w:pPr>
            <w:pStyle w:val="TOC2"/>
            <w:rPr>
              <w:rFonts w:eastAsiaTheme="minorEastAsia" w:cstheme="minorBidi"/>
              <w:noProof/>
              <w:kern w:val="2"/>
              <w:lang w:eastAsia="en-AU"/>
              <w14:ligatures w14:val="standardContextual"/>
            </w:rPr>
          </w:pPr>
          <w:hyperlink w:anchor="_Toc147910405" w:history="1">
            <w:r w:rsidR="004768D9" w:rsidRPr="00BA391E">
              <w:rPr>
                <w:rStyle w:val="Hyperlink"/>
                <w:noProof/>
              </w:rPr>
              <w:t>4.5</w:t>
            </w:r>
            <w:r w:rsidR="004768D9">
              <w:rPr>
                <w:rFonts w:eastAsiaTheme="minorEastAsia" w:cstheme="minorBidi"/>
                <w:noProof/>
                <w:kern w:val="2"/>
                <w:lang w:eastAsia="en-AU"/>
                <w14:ligatures w14:val="standardContextual"/>
              </w:rPr>
              <w:tab/>
            </w:r>
            <w:r w:rsidR="004768D9" w:rsidRPr="00BA391E">
              <w:rPr>
                <w:rStyle w:val="Hyperlink"/>
                <w:noProof/>
              </w:rPr>
              <w:t>What should the Grant Application Review Team look out for as red flags that suggest the applicant will not do an adequate job supporting victim-survivor women and children from First Nations, CALD and disability backgrounds in emergency accommodation?</w:t>
            </w:r>
            <w:r w:rsidR="004768D9">
              <w:rPr>
                <w:noProof/>
                <w:webHidden/>
              </w:rPr>
              <w:tab/>
            </w:r>
            <w:r w:rsidR="004768D9">
              <w:rPr>
                <w:noProof/>
                <w:webHidden/>
              </w:rPr>
              <w:fldChar w:fldCharType="begin"/>
            </w:r>
            <w:r w:rsidR="004768D9">
              <w:rPr>
                <w:noProof/>
                <w:webHidden/>
              </w:rPr>
              <w:instrText xml:space="preserve"> PAGEREF _Toc147910405 \h </w:instrText>
            </w:r>
            <w:r w:rsidR="004768D9">
              <w:rPr>
                <w:noProof/>
                <w:webHidden/>
              </w:rPr>
            </w:r>
            <w:r w:rsidR="004768D9">
              <w:rPr>
                <w:noProof/>
                <w:webHidden/>
              </w:rPr>
              <w:fldChar w:fldCharType="separate"/>
            </w:r>
            <w:r w:rsidR="004768D9">
              <w:rPr>
                <w:noProof/>
                <w:webHidden/>
              </w:rPr>
              <w:t>24</w:t>
            </w:r>
            <w:r w:rsidR="004768D9">
              <w:rPr>
                <w:noProof/>
                <w:webHidden/>
              </w:rPr>
              <w:fldChar w:fldCharType="end"/>
            </w:r>
          </w:hyperlink>
        </w:p>
        <w:p w14:paraId="14C3ED42" w14:textId="25D9622E" w:rsidR="004768D9" w:rsidRDefault="004D727B">
          <w:pPr>
            <w:pStyle w:val="TOC2"/>
            <w:rPr>
              <w:rFonts w:eastAsiaTheme="minorEastAsia" w:cstheme="minorBidi"/>
              <w:noProof/>
              <w:kern w:val="2"/>
              <w:lang w:eastAsia="en-AU"/>
              <w14:ligatures w14:val="standardContextual"/>
            </w:rPr>
          </w:pPr>
          <w:hyperlink w:anchor="_Toc147910406" w:history="1">
            <w:r w:rsidR="004768D9" w:rsidRPr="00BA391E">
              <w:rPr>
                <w:rStyle w:val="Hyperlink"/>
                <w:noProof/>
              </w:rPr>
              <w:t>4.6</w:t>
            </w:r>
            <w:r w:rsidR="004768D9">
              <w:rPr>
                <w:rFonts w:eastAsiaTheme="minorEastAsia" w:cstheme="minorBidi"/>
                <w:noProof/>
                <w:kern w:val="2"/>
                <w:lang w:eastAsia="en-AU"/>
                <w14:ligatures w14:val="standardContextual"/>
              </w:rPr>
              <w:tab/>
            </w:r>
            <w:r w:rsidR="004768D9" w:rsidRPr="00BA391E">
              <w:rPr>
                <w:rStyle w:val="Hyperlink"/>
                <w:noProof/>
              </w:rPr>
              <w:t>How should DSS manage and support successful grant applicants, in the implementation of their projects?</w:t>
            </w:r>
            <w:r w:rsidR="004768D9">
              <w:rPr>
                <w:noProof/>
                <w:webHidden/>
              </w:rPr>
              <w:tab/>
            </w:r>
            <w:r w:rsidR="004768D9">
              <w:rPr>
                <w:noProof/>
                <w:webHidden/>
              </w:rPr>
              <w:fldChar w:fldCharType="begin"/>
            </w:r>
            <w:r w:rsidR="004768D9">
              <w:rPr>
                <w:noProof/>
                <w:webHidden/>
              </w:rPr>
              <w:instrText xml:space="preserve"> PAGEREF _Toc147910406 \h </w:instrText>
            </w:r>
            <w:r w:rsidR="004768D9">
              <w:rPr>
                <w:noProof/>
                <w:webHidden/>
              </w:rPr>
            </w:r>
            <w:r w:rsidR="004768D9">
              <w:rPr>
                <w:noProof/>
                <w:webHidden/>
              </w:rPr>
              <w:fldChar w:fldCharType="separate"/>
            </w:r>
            <w:r w:rsidR="004768D9">
              <w:rPr>
                <w:noProof/>
                <w:webHidden/>
              </w:rPr>
              <w:t>25</w:t>
            </w:r>
            <w:r w:rsidR="004768D9">
              <w:rPr>
                <w:noProof/>
                <w:webHidden/>
              </w:rPr>
              <w:fldChar w:fldCharType="end"/>
            </w:r>
          </w:hyperlink>
        </w:p>
        <w:p w14:paraId="3B71B0C1" w14:textId="59327BD0" w:rsidR="004768D9" w:rsidRDefault="004D727B">
          <w:pPr>
            <w:pStyle w:val="TOC1"/>
            <w:rPr>
              <w:rFonts w:eastAsiaTheme="minorEastAsia" w:cstheme="minorBidi"/>
              <w:noProof/>
              <w:kern w:val="2"/>
              <w:sz w:val="22"/>
              <w:lang w:eastAsia="en-AU"/>
              <w14:ligatures w14:val="standardContextual"/>
            </w:rPr>
          </w:pPr>
          <w:hyperlink w:anchor="_Toc147910407" w:history="1">
            <w:r w:rsidR="004768D9" w:rsidRPr="00BA391E">
              <w:rPr>
                <w:rStyle w:val="Hyperlink"/>
                <w:rFonts w:ascii="Koblenz Serial Medium" w:hAnsi="Koblenz Serial Medium"/>
                <w:noProof/>
                <w:position w:val="-2"/>
              </w:rPr>
              <w:t>5.</w:t>
            </w:r>
            <w:r w:rsidR="004768D9">
              <w:rPr>
                <w:rFonts w:eastAsiaTheme="minorEastAsia" w:cstheme="minorBidi"/>
                <w:noProof/>
                <w:kern w:val="2"/>
                <w:sz w:val="22"/>
                <w:lang w:eastAsia="en-AU"/>
                <w14:ligatures w14:val="standardContextual"/>
              </w:rPr>
              <w:tab/>
            </w:r>
            <w:r w:rsidR="004768D9" w:rsidRPr="00BA391E">
              <w:rPr>
                <w:rStyle w:val="Hyperlink"/>
                <w:noProof/>
              </w:rPr>
              <w:t>Key themes for the Safe Places Inclusion Round</w:t>
            </w:r>
            <w:r w:rsidR="004768D9">
              <w:rPr>
                <w:noProof/>
                <w:webHidden/>
              </w:rPr>
              <w:tab/>
            </w:r>
            <w:r w:rsidR="004768D9">
              <w:rPr>
                <w:noProof/>
                <w:webHidden/>
              </w:rPr>
              <w:fldChar w:fldCharType="begin"/>
            </w:r>
            <w:r w:rsidR="004768D9">
              <w:rPr>
                <w:noProof/>
                <w:webHidden/>
              </w:rPr>
              <w:instrText xml:space="preserve"> PAGEREF _Toc147910407 \h </w:instrText>
            </w:r>
            <w:r w:rsidR="004768D9">
              <w:rPr>
                <w:noProof/>
                <w:webHidden/>
              </w:rPr>
            </w:r>
            <w:r w:rsidR="004768D9">
              <w:rPr>
                <w:noProof/>
                <w:webHidden/>
              </w:rPr>
              <w:fldChar w:fldCharType="separate"/>
            </w:r>
            <w:r w:rsidR="004768D9">
              <w:rPr>
                <w:noProof/>
                <w:webHidden/>
              </w:rPr>
              <w:t>30</w:t>
            </w:r>
            <w:r w:rsidR="004768D9">
              <w:rPr>
                <w:noProof/>
                <w:webHidden/>
              </w:rPr>
              <w:fldChar w:fldCharType="end"/>
            </w:r>
          </w:hyperlink>
        </w:p>
        <w:p w14:paraId="1396A34C" w14:textId="4EB293F5" w:rsidR="004768D9" w:rsidRDefault="004D727B">
          <w:pPr>
            <w:pStyle w:val="TOC2"/>
            <w:rPr>
              <w:rFonts w:eastAsiaTheme="minorEastAsia" w:cstheme="minorBidi"/>
              <w:noProof/>
              <w:kern w:val="2"/>
              <w:lang w:eastAsia="en-AU"/>
              <w14:ligatures w14:val="standardContextual"/>
            </w:rPr>
          </w:pPr>
          <w:hyperlink w:anchor="_Toc147910408" w:history="1">
            <w:r w:rsidR="004768D9" w:rsidRPr="00BA391E">
              <w:rPr>
                <w:rStyle w:val="Hyperlink"/>
                <w:noProof/>
              </w:rPr>
              <w:t>5.1</w:t>
            </w:r>
            <w:r w:rsidR="004768D9">
              <w:rPr>
                <w:rFonts w:eastAsiaTheme="minorEastAsia" w:cstheme="minorBidi"/>
                <w:noProof/>
                <w:kern w:val="2"/>
                <w:lang w:eastAsia="en-AU"/>
                <w14:ligatures w14:val="standardContextual"/>
              </w:rPr>
              <w:tab/>
            </w:r>
            <w:r w:rsidR="004768D9" w:rsidRPr="00BA391E">
              <w:rPr>
                <w:rStyle w:val="Hyperlink"/>
                <w:noProof/>
              </w:rPr>
              <w:t>Overall themes</w:t>
            </w:r>
            <w:r w:rsidR="004768D9">
              <w:rPr>
                <w:noProof/>
                <w:webHidden/>
              </w:rPr>
              <w:tab/>
            </w:r>
            <w:r w:rsidR="004768D9">
              <w:rPr>
                <w:noProof/>
                <w:webHidden/>
              </w:rPr>
              <w:fldChar w:fldCharType="begin"/>
            </w:r>
            <w:r w:rsidR="004768D9">
              <w:rPr>
                <w:noProof/>
                <w:webHidden/>
              </w:rPr>
              <w:instrText xml:space="preserve"> PAGEREF _Toc147910408 \h </w:instrText>
            </w:r>
            <w:r w:rsidR="004768D9">
              <w:rPr>
                <w:noProof/>
                <w:webHidden/>
              </w:rPr>
            </w:r>
            <w:r w:rsidR="004768D9">
              <w:rPr>
                <w:noProof/>
                <w:webHidden/>
              </w:rPr>
              <w:fldChar w:fldCharType="separate"/>
            </w:r>
            <w:r w:rsidR="004768D9">
              <w:rPr>
                <w:noProof/>
                <w:webHidden/>
              </w:rPr>
              <w:t>30</w:t>
            </w:r>
            <w:r w:rsidR="004768D9">
              <w:rPr>
                <w:noProof/>
                <w:webHidden/>
              </w:rPr>
              <w:fldChar w:fldCharType="end"/>
            </w:r>
          </w:hyperlink>
        </w:p>
        <w:p w14:paraId="15036384" w14:textId="360C9297" w:rsidR="004768D9" w:rsidRDefault="004D727B">
          <w:pPr>
            <w:pStyle w:val="TOC2"/>
            <w:rPr>
              <w:rFonts w:eastAsiaTheme="minorEastAsia" w:cstheme="minorBidi"/>
              <w:noProof/>
              <w:kern w:val="2"/>
              <w:lang w:eastAsia="en-AU"/>
              <w14:ligatures w14:val="standardContextual"/>
            </w:rPr>
          </w:pPr>
          <w:hyperlink w:anchor="_Toc147910409" w:history="1">
            <w:r w:rsidR="004768D9" w:rsidRPr="00BA391E">
              <w:rPr>
                <w:rStyle w:val="Hyperlink"/>
                <w:noProof/>
              </w:rPr>
              <w:t>5.2</w:t>
            </w:r>
            <w:r w:rsidR="004768D9">
              <w:rPr>
                <w:rFonts w:eastAsiaTheme="minorEastAsia" w:cstheme="minorBidi"/>
                <w:noProof/>
                <w:kern w:val="2"/>
                <w:lang w:eastAsia="en-AU"/>
                <w14:ligatures w14:val="standardContextual"/>
              </w:rPr>
              <w:tab/>
            </w:r>
            <w:r w:rsidR="004768D9" w:rsidRPr="00BA391E">
              <w:rPr>
                <w:rStyle w:val="Hyperlink"/>
                <w:noProof/>
              </w:rPr>
              <w:t>Themes regarding the physical design, cultural features and location of accommodation</w:t>
            </w:r>
            <w:r w:rsidR="004768D9">
              <w:rPr>
                <w:noProof/>
                <w:webHidden/>
              </w:rPr>
              <w:tab/>
            </w:r>
            <w:r w:rsidR="004768D9">
              <w:rPr>
                <w:noProof/>
                <w:webHidden/>
              </w:rPr>
              <w:fldChar w:fldCharType="begin"/>
            </w:r>
            <w:r w:rsidR="004768D9">
              <w:rPr>
                <w:noProof/>
                <w:webHidden/>
              </w:rPr>
              <w:instrText xml:space="preserve"> PAGEREF _Toc147910409 \h </w:instrText>
            </w:r>
            <w:r w:rsidR="004768D9">
              <w:rPr>
                <w:noProof/>
                <w:webHidden/>
              </w:rPr>
            </w:r>
            <w:r w:rsidR="004768D9">
              <w:rPr>
                <w:noProof/>
                <w:webHidden/>
              </w:rPr>
              <w:fldChar w:fldCharType="separate"/>
            </w:r>
            <w:r w:rsidR="004768D9">
              <w:rPr>
                <w:noProof/>
                <w:webHidden/>
              </w:rPr>
              <w:t>30</w:t>
            </w:r>
            <w:r w:rsidR="004768D9">
              <w:rPr>
                <w:noProof/>
                <w:webHidden/>
              </w:rPr>
              <w:fldChar w:fldCharType="end"/>
            </w:r>
          </w:hyperlink>
        </w:p>
        <w:p w14:paraId="3E0D8EAD" w14:textId="504F977E" w:rsidR="004768D9" w:rsidRDefault="004D727B">
          <w:pPr>
            <w:pStyle w:val="TOC2"/>
            <w:rPr>
              <w:rFonts w:eastAsiaTheme="minorEastAsia" w:cstheme="minorBidi"/>
              <w:noProof/>
              <w:kern w:val="2"/>
              <w:lang w:eastAsia="en-AU"/>
              <w14:ligatures w14:val="standardContextual"/>
            </w:rPr>
          </w:pPr>
          <w:hyperlink w:anchor="_Toc147910410" w:history="1">
            <w:r w:rsidR="004768D9" w:rsidRPr="00BA391E">
              <w:rPr>
                <w:rStyle w:val="Hyperlink"/>
                <w:noProof/>
              </w:rPr>
              <w:t>5.3</w:t>
            </w:r>
            <w:r w:rsidR="004768D9">
              <w:rPr>
                <w:rFonts w:eastAsiaTheme="minorEastAsia" w:cstheme="minorBidi"/>
                <w:noProof/>
                <w:kern w:val="2"/>
                <w:lang w:eastAsia="en-AU"/>
                <w14:ligatures w14:val="standardContextual"/>
              </w:rPr>
              <w:tab/>
            </w:r>
            <w:r w:rsidR="004768D9" w:rsidRPr="00BA391E">
              <w:rPr>
                <w:rStyle w:val="Hyperlink"/>
                <w:noProof/>
              </w:rPr>
              <w:t>Themes regarding the supports and services provided alongside emergency accommodation</w:t>
            </w:r>
            <w:r w:rsidR="004768D9">
              <w:rPr>
                <w:noProof/>
                <w:webHidden/>
              </w:rPr>
              <w:tab/>
            </w:r>
            <w:r w:rsidR="004768D9">
              <w:rPr>
                <w:noProof/>
                <w:webHidden/>
              </w:rPr>
              <w:fldChar w:fldCharType="begin"/>
            </w:r>
            <w:r w:rsidR="004768D9">
              <w:rPr>
                <w:noProof/>
                <w:webHidden/>
              </w:rPr>
              <w:instrText xml:space="preserve"> PAGEREF _Toc147910410 \h </w:instrText>
            </w:r>
            <w:r w:rsidR="004768D9">
              <w:rPr>
                <w:noProof/>
                <w:webHidden/>
              </w:rPr>
            </w:r>
            <w:r w:rsidR="004768D9">
              <w:rPr>
                <w:noProof/>
                <w:webHidden/>
              </w:rPr>
              <w:fldChar w:fldCharType="separate"/>
            </w:r>
            <w:r w:rsidR="004768D9">
              <w:rPr>
                <w:noProof/>
                <w:webHidden/>
              </w:rPr>
              <w:t>31</w:t>
            </w:r>
            <w:r w:rsidR="004768D9">
              <w:rPr>
                <w:noProof/>
                <w:webHidden/>
              </w:rPr>
              <w:fldChar w:fldCharType="end"/>
            </w:r>
          </w:hyperlink>
        </w:p>
        <w:p w14:paraId="292766E1" w14:textId="44EBCE65" w:rsidR="004768D9" w:rsidRDefault="004D727B">
          <w:pPr>
            <w:pStyle w:val="TOC2"/>
            <w:rPr>
              <w:rFonts w:eastAsiaTheme="minorEastAsia" w:cstheme="minorBidi"/>
              <w:noProof/>
              <w:kern w:val="2"/>
              <w:lang w:eastAsia="en-AU"/>
              <w14:ligatures w14:val="standardContextual"/>
            </w:rPr>
          </w:pPr>
          <w:hyperlink w:anchor="_Toc147910411" w:history="1">
            <w:r w:rsidR="004768D9" w:rsidRPr="00BA391E">
              <w:rPr>
                <w:rStyle w:val="Hyperlink"/>
                <w:noProof/>
              </w:rPr>
              <w:t>5.4</w:t>
            </w:r>
            <w:r w:rsidR="004768D9">
              <w:rPr>
                <w:rFonts w:eastAsiaTheme="minorEastAsia" w:cstheme="minorBidi"/>
                <w:noProof/>
                <w:kern w:val="2"/>
                <w:lang w:eastAsia="en-AU"/>
                <w14:ligatures w14:val="standardContextual"/>
              </w:rPr>
              <w:tab/>
            </w:r>
            <w:r w:rsidR="004768D9" w:rsidRPr="00BA391E">
              <w:rPr>
                <w:rStyle w:val="Hyperlink"/>
                <w:noProof/>
              </w:rPr>
              <w:t>Themes regarding the assessment of grant applications, and supporting applicants and successful grantees</w:t>
            </w:r>
            <w:r w:rsidR="004768D9">
              <w:rPr>
                <w:noProof/>
                <w:webHidden/>
              </w:rPr>
              <w:tab/>
            </w:r>
            <w:r w:rsidR="004768D9">
              <w:rPr>
                <w:noProof/>
                <w:webHidden/>
              </w:rPr>
              <w:fldChar w:fldCharType="begin"/>
            </w:r>
            <w:r w:rsidR="004768D9">
              <w:rPr>
                <w:noProof/>
                <w:webHidden/>
              </w:rPr>
              <w:instrText xml:space="preserve"> PAGEREF _Toc147910411 \h </w:instrText>
            </w:r>
            <w:r w:rsidR="004768D9">
              <w:rPr>
                <w:noProof/>
                <w:webHidden/>
              </w:rPr>
            </w:r>
            <w:r w:rsidR="004768D9">
              <w:rPr>
                <w:noProof/>
                <w:webHidden/>
              </w:rPr>
              <w:fldChar w:fldCharType="separate"/>
            </w:r>
            <w:r w:rsidR="004768D9">
              <w:rPr>
                <w:noProof/>
                <w:webHidden/>
              </w:rPr>
              <w:t>32</w:t>
            </w:r>
            <w:r w:rsidR="004768D9">
              <w:rPr>
                <w:noProof/>
                <w:webHidden/>
              </w:rPr>
              <w:fldChar w:fldCharType="end"/>
            </w:r>
          </w:hyperlink>
        </w:p>
        <w:p w14:paraId="67A28C05" w14:textId="3EA498DE" w:rsidR="004768D9" w:rsidRDefault="004D727B">
          <w:pPr>
            <w:pStyle w:val="TOC1"/>
            <w:rPr>
              <w:rFonts w:eastAsiaTheme="minorEastAsia" w:cstheme="minorBidi"/>
              <w:noProof/>
              <w:kern w:val="2"/>
              <w:sz w:val="22"/>
              <w:lang w:eastAsia="en-AU"/>
              <w14:ligatures w14:val="standardContextual"/>
            </w:rPr>
          </w:pPr>
          <w:hyperlink w:anchor="_Toc147910412" w:history="1">
            <w:r w:rsidR="004768D9" w:rsidRPr="00BA391E">
              <w:rPr>
                <w:rStyle w:val="Hyperlink"/>
                <w:noProof/>
              </w:rPr>
              <w:t>Appendix 1: Recruitment screener</w:t>
            </w:r>
            <w:r w:rsidR="004768D9">
              <w:rPr>
                <w:noProof/>
                <w:webHidden/>
              </w:rPr>
              <w:tab/>
            </w:r>
            <w:r w:rsidR="004768D9">
              <w:rPr>
                <w:noProof/>
                <w:webHidden/>
              </w:rPr>
              <w:fldChar w:fldCharType="begin"/>
            </w:r>
            <w:r w:rsidR="004768D9">
              <w:rPr>
                <w:noProof/>
                <w:webHidden/>
              </w:rPr>
              <w:instrText xml:space="preserve"> PAGEREF _Toc147910412 \h </w:instrText>
            </w:r>
            <w:r w:rsidR="004768D9">
              <w:rPr>
                <w:noProof/>
                <w:webHidden/>
              </w:rPr>
            </w:r>
            <w:r w:rsidR="004768D9">
              <w:rPr>
                <w:noProof/>
                <w:webHidden/>
              </w:rPr>
              <w:fldChar w:fldCharType="separate"/>
            </w:r>
            <w:r w:rsidR="004768D9">
              <w:rPr>
                <w:noProof/>
                <w:webHidden/>
              </w:rPr>
              <w:t>34</w:t>
            </w:r>
            <w:r w:rsidR="004768D9">
              <w:rPr>
                <w:noProof/>
                <w:webHidden/>
              </w:rPr>
              <w:fldChar w:fldCharType="end"/>
            </w:r>
          </w:hyperlink>
        </w:p>
        <w:p w14:paraId="61E28431" w14:textId="526DC4FD" w:rsidR="004768D9" w:rsidRDefault="004D727B">
          <w:pPr>
            <w:pStyle w:val="TOC1"/>
            <w:rPr>
              <w:rFonts w:eastAsiaTheme="minorEastAsia" w:cstheme="minorBidi"/>
              <w:noProof/>
              <w:kern w:val="2"/>
              <w:sz w:val="22"/>
              <w:lang w:eastAsia="en-AU"/>
              <w14:ligatures w14:val="standardContextual"/>
            </w:rPr>
          </w:pPr>
          <w:hyperlink w:anchor="_Toc147910413" w:history="1">
            <w:r w:rsidR="004768D9" w:rsidRPr="00BA391E">
              <w:rPr>
                <w:rStyle w:val="Hyperlink"/>
                <w:noProof/>
              </w:rPr>
              <w:t>Appendix 2: Participant information statement</w:t>
            </w:r>
            <w:r w:rsidR="004768D9">
              <w:rPr>
                <w:noProof/>
                <w:webHidden/>
              </w:rPr>
              <w:tab/>
            </w:r>
            <w:r w:rsidR="004768D9">
              <w:rPr>
                <w:noProof/>
                <w:webHidden/>
              </w:rPr>
              <w:fldChar w:fldCharType="begin"/>
            </w:r>
            <w:r w:rsidR="004768D9">
              <w:rPr>
                <w:noProof/>
                <w:webHidden/>
              </w:rPr>
              <w:instrText xml:space="preserve"> PAGEREF _Toc147910413 \h </w:instrText>
            </w:r>
            <w:r w:rsidR="004768D9">
              <w:rPr>
                <w:noProof/>
                <w:webHidden/>
              </w:rPr>
            </w:r>
            <w:r w:rsidR="004768D9">
              <w:rPr>
                <w:noProof/>
                <w:webHidden/>
              </w:rPr>
              <w:fldChar w:fldCharType="separate"/>
            </w:r>
            <w:r w:rsidR="004768D9">
              <w:rPr>
                <w:noProof/>
                <w:webHidden/>
              </w:rPr>
              <w:t>38</w:t>
            </w:r>
            <w:r w:rsidR="004768D9">
              <w:rPr>
                <w:noProof/>
                <w:webHidden/>
              </w:rPr>
              <w:fldChar w:fldCharType="end"/>
            </w:r>
          </w:hyperlink>
        </w:p>
        <w:p w14:paraId="49F6269D" w14:textId="1DA14251" w:rsidR="004768D9" w:rsidRDefault="004D727B">
          <w:pPr>
            <w:pStyle w:val="TOC1"/>
            <w:rPr>
              <w:rFonts w:eastAsiaTheme="minorEastAsia" w:cstheme="minorBidi"/>
              <w:noProof/>
              <w:kern w:val="2"/>
              <w:sz w:val="22"/>
              <w:lang w:eastAsia="en-AU"/>
              <w14:ligatures w14:val="standardContextual"/>
            </w:rPr>
          </w:pPr>
          <w:hyperlink w:anchor="_Toc147910414" w:history="1">
            <w:r w:rsidR="004768D9" w:rsidRPr="00BA391E">
              <w:rPr>
                <w:rStyle w:val="Hyperlink"/>
                <w:noProof/>
              </w:rPr>
              <w:t>Appendix 3: Discussion guide</w:t>
            </w:r>
            <w:r w:rsidR="004768D9">
              <w:rPr>
                <w:noProof/>
                <w:webHidden/>
              </w:rPr>
              <w:tab/>
            </w:r>
            <w:r w:rsidR="004768D9">
              <w:rPr>
                <w:noProof/>
                <w:webHidden/>
              </w:rPr>
              <w:fldChar w:fldCharType="begin"/>
            </w:r>
            <w:r w:rsidR="004768D9">
              <w:rPr>
                <w:noProof/>
                <w:webHidden/>
              </w:rPr>
              <w:instrText xml:space="preserve"> PAGEREF _Toc147910414 \h </w:instrText>
            </w:r>
            <w:r w:rsidR="004768D9">
              <w:rPr>
                <w:noProof/>
                <w:webHidden/>
              </w:rPr>
            </w:r>
            <w:r w:rsidR="004768D9">
              <w:rPr>
                <w:noProof/>
                <w:webHidden/>
              </w:rPr>
              <w:fldChar w:fldCharType="separate"/>
            </w:r>
            <w:r w:rsidR="004768D9">
              <w:rPr>
                <w:noProof/>
                <w:webHidden/>
              </w:rPr>
              <w:t>41</w:t>
            </w:r>
            <w:r w:rsidR="004768D9">
              <w:rPr>
                <w:noProof/>
                <w:webHidden/>
              </w:rPr>
              <w:fldChar w:fldCharType="end"/>
            </w:r>
          </w:hyperlink>
        </w:p>
        <w:p w14:paraId="03343493" w14:textId="2DF02EA5" w:rsidR="004768D9" w:rsidRDefault="004D727B">
          <w:pPr>
            <w:pStyle w:val="TOC1"/>
            <w:rPr>
              <w:rFonts w:eastAsiaTheme="minorEastAsia" w:cstheme="minorBidi"/>
              <w:noProof/>
              <w:kern w:val="2"/>
              <w:sz w:val="22"/>
              <w:lang w:eastAsia="en-AU"/>
              <w14:ligatures w14:val="standardContextual"/>
            </w:rPr>
          </w:pPr>
          <w:hyperlink w:anchor="_Toc147910415" w:history="1">
            <w:r w:rsidR="004768D9" w:rsidRPr="00BA391E">
              <w:rPr>
                <w:rStyle w:val="Hyperlink"/>
                <w:noProof/>
              </w:rPr>
              <w:t>Appendix 4: Focus group stimulus</w:t>
            </w:r>
            <w:r w:rsidR="004768D9">
              <w:rPr>
                <w:noProof/>
                <w:webHidden/>
              </w:rPr>
              <w:tab/>
            </w:r>
            <w:r w:rsidR="004768D9">
              <w:rPr>
                <w:noProof/>
                <w:webHidden/>
              </w:rPr>
              <w:fldChar w:fldCharType="begin"/>
            </w:r>
            <w:r w:rsidR="004768D9">
              <w:rPr>
                <w:noProof/>
                <w:webHidden/>
              </w:rPr>
              <w:instrText xml:space="preserve"> PAGEREF _Toc147910415 \h </w:instrText>
            </w:r>
            <w:r w:rsidR="004768D9">
              <w:rPr>
                <w:noProof/>
                <w:webHidden/>
              </w:rPr>
            </w:r>
            <w:r w:rsidR="004768D9">
              <w:rPr>
                <w:noProof/>
                <w:webHidden/>
              </w:rPr>
              <w:fldChar w:fldCharType="separate"/>
            </w:r>
            <w:r w:rsidR="004768D9">
              <w:rPr>
                <w:noProof/>
                <w:webHidden/>
              </w:rPr>
              <w:t>46</w:t>
            </w:r>
            <w:r w:rsidR="004768D9">
              <w:rPr>
                <w:noProof/>
                <w:webHidden/>
              </w:rPr>
              <w:fldChar w:fldCharType="end"/>
            </w:r>
          </w:hyperlink>
        </w:p>
        <w:p w14:paraId="04D18F39" w14:textId="3F6ECCCF" w:rsidR="004768D9" w:rsidRDefault="004D727B">
          <w:pPr>
            <w:pStyle w:val="TOC1"/>
            <w:rPr>
              <w:rFonts w:eastAsiaTheme="minorEastAsia" w:cstheme="minorBidi"/>
              <w:noProof/>
              <w:kern w:val="2"/>
              <w:sz w:val="22"/>
              <w:lang w:eastAsia="en-AU"/>
              <w14:ligatures w14:val="standardContextual"/>
            </w:rPr>
          </w:pPr>
          <w:hyperlink w:anchor="_Toc147910416" w:history="1">
            <w:r w:rsidR="004768D9" w:rsidRPr="00BA391E">
              <w:rPr>
                <w:rStyle w:val="Hyperlink"/>
                <w:noProof/>
              </w:rPr>
              <w:t>Appendix 5: Participant profiles</w:t>
            </w:r>
            <w:r w:rsidR="004768D9">
              <w:rPr>
                <w:noProof/>
                <w:webHidden/>
              </w:rPr>
              <w:tab/>
            </w:r>
            <w:r w:rsidR="004768D9">
              <w:rPr>
                <w:noProof/>
                <w:webHidden/>
              </w:rPr>
              <w:fldChar w:fldCharType="begin"/>
            </w:r>
            <w:r w:rsidR="004768D9">
              <w:rPr>
                <w:noProof/>
                <w:webHidden/>
              </w:rPr>
              <w:instrText xml:space="preserve"> PAGEREF _Toc147910416 \h </w:instrText>
            </w:r>
            <w:r w:rsidR="004768D9">
              <w:rPr>
                <w:noProof/>
                <w:webHidden/>
              </w:rPr>
            </w:r>
            <w:r w:rsidR="004768D9">
              <w:rPr>
                <w:noProof/>
                <w:webHidden/>
              </w:rPr>
              <w:fldChar w:fldCharType="separate"/>
            </w:r>
            <w:r w:rsidR="004768D9">
              <w:rPr>
                <w:noProof/>
                <w:webHidden/>
              </w:rPr>
              <w:t>48</w:t>
            </w:r>
            <w:r w:rsidR="004768D9">
              <w:rPr>
                <w:noProof/>
                <w:webHidden/>
              </w:rPr>
              <w:fldChar w:fldCharType="end"/>
            </w:r>
          </w:hyperlink>
        </w:p>
        <w:p w14:paraId="5E120D55" w14:textId="76702A70" w:rsidR="00D94185" w:rsidRDefault="00D91AC6" w:rsidP="00D91AC6">
          <w:pPr>
            <w:pStyle w:val="TOC1"/>
            <w:rPr>
              <w:noProof/>
            </w:rPr>
          </w:pPr>
          <w:r>
            <w:fldChar w:fldCharType="end"/>
          </w:r>
        </w:p>
      </w:sdtContent>
    </w:sdt>
    <w:p w14:paraId="75965C14" w14:textId="6FFA804A" w:rsidR="00582D75" w:rsidRDefault="00582D75" w:rsidP="00D11227">
      <w:r>
        <w:br w:type="page"/>
      </w:r>
    </w:p>
    <w:p w14:paraId="78188241" w14:textId="77777777" w:rsidR="00D11227" w:rsidRPr="00D11227" w:rsidRDefault="00D11227" w:rsidP="00D11227"/>
    <w:p w14:paraId="55860E0E" w14:textId="327655B9" w:rsidR="00A2105C" w:rsidRPr="00D11227" w:rsidRDefault="00A2105C" w:rsidP="00A2105C">
      <w:pPr>
        <w:pBdr>
          <w:bottom w:val="single" w:sz="8" w:space="10" w:color="787878" w:themeColor="text2"/>
        </w:pBdr>
        <w:spacing w:after="400" w:line="240" w:lineRule="auto"/>
        <w:jc w:val="center"/>
        <w:rPr>
          <w:rFonts w:ascii="Koblenz Serial Light" w:hAnsi="Koblenz Serial Light"/>
          <w:caps/>
          <w:color w:val="DA291C" w:themeColor="background2"/>
          <w:sz w:val="48"/>
          <w:szCs w:val="40"/>
        </w:rPr>
      </w:pPr>
      <w:r w:rsidRPr="00D11227">
        <w:rPr>
          <w:rFonts w:ascii="Koblenz Serial Light" w:hAnsi="Koblenz Serial Light"/>
          <w:caps/>
          <w:color w:val="DA291C" w:themeColor="background2"/>
          <w:sz w:val="48"/>
          <w:szCs w:val="40"/>
        </w:rPr>
        <w:t xml:space="preserve">List of </w:t>
      </w:r>
      <w:r>
        <w:rPr>
          <w:rFonts w:ascii="Koblenz Serial Light" w:hAnsi="Koblenz Serial Light"/>
          <w:caps/>
          <w:color w:val="DA291C" w:themeColor="background2"/>
          <w:sz w:val="48"/>
          <w:szCs w:val="40"/>
        </w:rPr>
        <w:t>Tables and figures</w:t>
      </w:r>
    </w:p>
    <w:p w14:paraId="18DE119C" w14:textId="7E7AADFC" w:rsidR="004768D9" w:rsidRDefault="00582D75">
      <w:pPr>
        <w:pStyle w:val="TableofFigures"/>
        <w:tabs>
          <w:tab w:val="right" w:pos="9344"/>
        </w:tabs>
        <w:rPr>
          <w:rFonts w:eastAsiaTheme="minorEastAsia" w:cstheme="minorBidi"/>
          <w:noProof/>
          <w:color w:val="auto"/>
          <w:kern w:val="2"/>
          <w:lang w:eastAsia="en-AU"/>
          <w14:ligatures w14:val="standardContextual"/>
        </w:rPr>
      </w:pPr>
      <w:r w:rsidRPr="00C43484">
        <w:rPr>
          <w:sz w:val="24"/>
          <w:szCs w:val="24"/>
        </w:rPr>
        <w:fldChar w:fldCharType="begin"/>
      </w:r>
      <w:r w:rsidRPr="00C43484">
        <w:rPr>
          <w:sz w:val="24"/>
          <w:szCs w:val="24"/>
        </w:rPr>
        <w:instrText xml:space="preserve"> TOC \h \z \t "Table Figure Chart Title" \c </w:instrText>
      </w:r>
      <w:r w:rsidRPr="00C43484">
        <w:rPr>
          <w:sz w:val="24"/>
          <w:szCs w:val="24"/>
        </w:rPr>
        <w:fldChar w:fldCharType="separate"/>
      </w:r>
      <w:hyperlink w:anchor="_Toc147910417" w:history="1">
        <w:r w:rsidR="004768D9" w:rsidRPr="006F1B3F">
          <w:rPr>
            <w:rStyle w:val="Hyperlink"/>
            <w:noProof/>
          </w:rPr>
          <w:t>Figure 1: Key features recommended for all women and children victim-survivors in emergency accommodation.</w:t>
        </w:r>
        <w:r w:rsidR="004768D9">
          <w:rPr>
            <w:noProof/>
            <w:webHidden/>
          </w:rPr>
          <w:tab/>
        </w:r>
        <w:r w:rsidR="004768D9">
          <w:rPr>
            <w:noProof/>
            <w:webHidden/>
          </w:rPr>
          <w:fldChar w:fldCharType="begin"/>
        </w:r>
        <w:r w:rsidR="004768D9">
          <w:rPr>
            <w:noProof/>
            <w:webHidden/>
          </w:rPr>
          <w:instrText xml:space="preserve"> PAGEREF _Toc147910417 \h </w:instrText>
        </w:r>
        <w:r w:rsidR="004768D9">
          <w:rPr>
            <w:noProof/>
            <w:webHidden/>
          </w:rPr>
        </w:r>
        <w:r w:rsidR="004768D9">
          <w:rPr>
            <w:noProof/>
            <w:webHidden/>
          </w:rPr>
          <w:fldChar w:fldCharType="separate"/>
        </w:r>
        <w:r w:rsidR="004768D9">
          <w:rPr>
            <w:noProof/>
            <w:webHidden/>
          </w:rPr>
          <w:t>1</w:t>
        </w:r>
        <w:r w:rsidR="004768D9">
          <w:rPr>
            <w:noProof/>
            <w:webHidden/>
          </w:rPr>
          <w:fldChar w:fldCharType="end"/>
        </w:r>
      </w:hyperlink>
    </w:p>
    <w:p w14:paraId="1A564C2A" w14:textId="2050BBDD" w:rsidR="004768D9" w:rsidRDefault="004D727B">
      <w:pPr>
        <w:pStyle w:val="TableofFigures"/>
        <w:tabs>
          <w:tab w:val="right" w:pos="9344"/>
        </w:tabs>
        <w:rPr>
          <w:rFonts w:eastAsiaTheme="minorEastAsia" w:cstheme="minorBidi"/>
          <w:noProof/>
          <w:color w:val="auto"/>
          <w:kern w:val="2"/>
          <w:lang w:eastAsia="en-AU"/>
          <w14:ligatures w14:val="standardContextual"/>
        </w:rPr>
      </w:pPr>
      <w:hyperlink r:id="rId13" w:anchor="_Toc147910418" w:history="1">
        <w:r w:rsidR="004768D9" w:rsidRPr="006F1B3F">
          <w:rPr>
            <w:rStyle w:val="Hyperlink"/>
            <w:noProof/>
          </w:rPr>
          <w:t>Figure 2: Suggested services for all women and children victim-survivors, and additional services required for CALD and First Nations women and children (</w:t>
        </w:r>
        <w:r w:rsidR="004768D9" w:rsidRPr="006F1B3F">
          <w:rPr>
            <w:rStyle w:val="Hyperlink"/>
            <w:b/>
            <w:bCs/>
            <w:noProof/>
          </w:rPr>
          <w:t>bolded</w:t>
        </w:r>
        <w:r w:rsidR="004768D9" w:rsidRPr="006F1B3F">
          <w:rPr>
            <w:rStyle w:val="Hyperlink"/>
            <w:noProof/>
          </w:rPr>
          <w:t xml:space="preserve"> services are most critical, immediately upon entry)</w:t>
        </w:r>
        <w:r w:rsidR="004768D9">
          <w:rPr>
            <w:noProof/>
            <w:webHidden/>
          </w:rPr>
          <w:tab/>
        </w:r>
        <w:r w:rsidR="004768D9">
          <w:rPr>
            <w:noProof/>
            <w:webHidden/>
          </w:rPr>
          <w:fldChar w:fldCharType="begin"/>
        </w:r>
        <w:r w:rsidR="004768D9">
          <w:rPr>
            <w:noProof/>
            <w:webHidden/>
          </w:rPr>
          <w:instrText xml:space="preserve"> PAGEREF _Toc147910418 \h </w:instrText>
        </w:r>
        <w:r w:rsidR="004768D9">
          <w:rPr>
            <w:noProof/>
            <w:webHidden/>
          </w:rPr>
        </w:r>
        <w:r w:rsidR="004768D9">
          <w:rPr>
            <w:noProof/>
            <w:webHidden/>
          </w:rPr>
          <w:fldChar w:fldCharType="separate"/>
        </w:r>
        <w:r w:rsidR="004768D9">
          <w:rPr>
            <w:noProof/>
            <w:webHidden/>
          </w:rPr>
          <w:t>2</w:t>
        </w:r>
        <w:r w:rsidR="004768D9">
          <w:rPr>
            <w:noProof/>
            <w:webHidden/>
          </w:rPr>
          <w:fldChar w:fldCharType="end"/>
        </w:r>
      </w:hyperlink>
    </w:p>
    <w:p w14:paraId="7BB4AD76" w14:textId="7393FFE2" w:rsidR="004768D9" w:rsidRDefault="004D727B">
      <w:pPr>
        <w:pStyle w:val="TableofFigures"/>
        <w:tabs>
          <w:tab w:val="right" w:pos="9344"/>
        </w:tabs>
        <w:rPr>
          <w:rFonts w:eastAsiaTheme="minorEastAsia" w:cstheme="minorBidi"/>
          <w:noProof/>
          <w:color w:val="auto"/>
          <w:kern w:val="2"/>
          <w:lang w:eastAsia="en-AU"/>
          <w14:ligatures w14:val="standardContextual"/>
        </w:rPr>
      </w:pPr>
      <w:hyperlink w:anchor="_Toc147910419" w:history="1">
        <w:r w:rsidR="004768D9" w:rsidRPr="006F1B3F">
          <w:rPr>
            <w:rStyle w:val="Hyperlink"/>
            <w:noProof/>
          </w:rPr>
          <w:t>Table 1: Recommended application requirements and red flags</w:t>
        </w:r>
        <w:r w:rsidR="004768D9">
          <w:rPr>
            <w:noProof/>
            <w:webHidden/>
          </w:rPr>
          <w:tab/>
        </w:r>
        <w:r w:rsidR="004768D9">
          <w:rPr>
            <w:noProof/>
            <w:webHidden/>
          </w:rPr>
          <w:fldChar w:fldCharType="begin"/>
        </w:r>
        <w:r w:rsidR="004768D9">
          <w:rPr>
            <w:noProof/>
            <w:webHidden/>
          </w:rPr>
          <w:instrText xml:space="preserve"> PAGEREF _Toc147910419 \h </w:instrText>
        </w:r>
        <w:r w:rsidR="004768D9">
          <w:rPr>
            <w:noProof/>
            <w:webHidden/>
          </w:rPr>
        </w:r>
        <w:r w:rsidR="004768D9">
          <w:rPr>
            <w:noProof/>
            <w:webHidden/>
          </w:rPr>
          <w:fldChar w:fldCharType="separate"/>
        </w:r>
        <w:r w:rsidR="004768D9">
          <w:rPr>
            <w:noProof/>
            <w:webHidden/>
          </w:rPr>
          <w:t>3</w:t>
        </w:r>
        <w:r w:rsidR="004768D9">
          <w:rPr>
            <w:noProof/>
            <w:webHidden/>
          </w:rPr>
          <w:fldChar w:fldCharType="end"/>
        </w:r>
      </w:hyperlink>
    </w:p>
    <w:p w14:paraId="5D6F8FA3" w14:textId="7D32FA56" w:rsidR="004768D9" w:rsidRDefault="004D727B">
      <w:pPr>
        <w:pStyle w:val="TableofFigures"/>
        <w:tabs>
          <w:tab w:val="right" w:pos="9344"/>
        </w:tabs>
        <w:rPr>
          <w:rFonts w:eastAsiaTheme="minorEastAsia" w:cstheme="minorBidi"/>
          <w:noProof/>
          <w:color w:val="auto"/>
          <w:kern w:val="2"/>
          <w:lang w:eastAsia="en-AU"/>
          <w14:ligatures w14:val="standardContextual"/>
        </w:rPr>
      </w:pPr>
      <w:hyperlink w:anchor="_Toc147910420" w:history="1">
        <w:r w:rsidR="004768D9" w:rsidRPr="006F1B3F">
          <w:rPr>
            <w:rStyle w:val="Hyperlink"/>
            <w:noProof/>
          </w:rPr>
          <w:t>Table 2: Suggestions for DSS support in applying for and managing a grant</w:t>
        </w:r>
        <w:r w:rsidR="004768D9">
          <w:rPr>
            <w:noProof/>
            <w:webHidden/>
          </w:rPr>
          <w:tab/>
        </w:r>
        <w:r w:rsidR="004768D9">
          <w:rPr>
            <w:noProof/>
            <w:webHidden/>
          </w:rPr>
          <w:fldChar w:fldCharType="begin"/>
        </w:r>
        <w:r w:rsidR="004768D9">
          <w:rPr>
            <w:noProof/>
            <w:webHidden/>
          </w:rPr>
          <w:instrText xml:space="preserve"> PAGEREF _Toc147910420 \h </w:instrText>
        </w:r>
        <w:r w:rsidR="004768D9">
          <w:rPr>
            <w:noProof/>
            <w:webHidden/>
          </w:rPr>
        </w:r>
        <w:r w:rsidR="004768D9">
          <w:rPr>
            <w:noProof/>
            <w:webHidden/>
          </w:rPr>
          <w:fldChar w:fldCharType="separate"/>
        </w:r>
        <w:r w:rsidR="004768D9">
          <w:rPr>
            <w:noProof/>
            <w:webHidden/>
          </w:rPr>
          <w:t>4</w:t>
        </w:r>
        <w:r w:rsidR="004768D9">
          <w:rPr>
            <w:noProof/>
            <w:webHidden/>
          </w:rPr>
          <w:fldChar w:fldCharType="end"/>
        </w:r>
      </w:hyperlink>
    </w:p>
    <w:p w14:paraId="1BE63F27" w14:textId="38FC0FA6" w:rsidR="004768D9" w:rsidRDefault="004D727B">
      <w:pPr>
        <w:pStyle w:val="TableofFigures"/>
        <w:tabs>
          <w:tab w:val="right" w:pos="9344"/>
        </w:tabs>
        <w:rPr>
          <w:rFonts w:eastAsiaTheme="minorEastAsia" w:cstheme="minorBidi"/>
          <w:noProof/>
          <w:color w:val="auto"/>
          <w:kern w:val="2"/>
          <w:lang w:eastAsia="en-AU"/>
          <w14:ligatures w14:val="standardContextual"/>
        </w:rPr>
      </w:pPr>
      <w:hyperlink w:anchor="_Toc147910421" w:history="1">
        <w:r w:rsidR="004768D9" w:rsidRPr="006F1B3F">
          <w:rPr>
            <w:rStyle w:val="Hyperlink"/>
            <w:noProof/>
          </w:rPr>
          <w:t>Table 3: Consultation themes</w:t>
        </w:r>
        <w:r w:rsidR="004768D9">
          <w:rPr>
            <w:noProof/>
            <w:webHidden/>
          </w:rPr>
          <w:tab/>
        </w:r>
        <w:r w:rsidR="004768D9">
          <w:rPr>
            <w:noProof/>
            <w:webHidden/>
          </w:rPr>
          <w:fldChar w:fldCharType="begin"/>
        </w:r>
        <w:r w:rsidR="004768D9">
          <w:rPr>
            <w:noProof/>
            <w:webHidden/>
          </w:rPr>
          <w:instrText xml:space="preserve"> PAGEREF _Toc147910421 \h </w:instrText>
        </w:r>
        <w:r w:rsidR="004768D9">
          <w:rPr>
            <w:noProof/>
            <w:webHidden/>
          </w:rPr>
        </w:r>
        <w:r w:rsidR="004768D9">
          <w:rPr>
            <w:noProof/>
            <w:webHidden/>
          </w:rPr>
          <w:fldChar w:fldCharType="separate"/>
        </w:r>
        <w:r w:rsidR="004768D9">
          <w:rPr>
            <w:noProof/>
            <w:webHidden/>
          </w:rPr>
          <w:t>4</w:t>
        </w:r>
        <w:r w:rsidR="004768D9">
          <w:rPr>
            <w:noProof/>
            <w:webHidden/>
          </w:rPr>
          <w:fldChar w:fldCharType="end"/>
        </w:r>
      </w:hyperlink>
    </w:p>
    <w:p w14:paraId="6B1173F6" w14:textId="6F85D6EB" w:rsidR="004768D9" w:rsidRDefault="004D727B">
      <w:pPr>
        <w:pStyle w:val="TableofFigures"/>
        <w:tabs>
          <w:tab w:val="right" w:pos="9344"/>
        </w:tabs>
        <w:rPr>
          <w:rFonts w:eastAsiaTheme="minorEastAsia" w:cstheme="minorBidi"/>
          <w:noProof/>
          <w:color w:val="auto"/>
          <w:kern w:val="2"/>
          <w:lang w:eastAsia="en-AU"/>
          <w14:ligatures w14:val="standardContextual"/>
        </w:rPr>
      </w:pPr>
      <w:hyperlink w:anchor="_Toc147910422" w:history="1">
        <w:r w:rsidR="004768D9" w:rsidRPr="006F1B3F">
          <w:rPr>
            <w:rStyle w:val="Hyperlink"/>
            <w:noProof/>
          </w:rPr>
          <w:t>Table 4: Characteristics of focus groups</w:t>
        </w:r>
        <w:r w:rsidR="004768D9">
          <w:rPr>
            <w:noProof/>
            <w:webHidden/>
          </w:rPr>
          <w:tab/>
        </w:r>
        <w:r w:rsidR="004768D9">
          <w:rPr>
            <w:noProof/>
            <w:webHidden/>
          </w:rPr>
          <w:fldChar w:fldCharType="begin"/>
        </w:r>
        <w:r w:rsidR="004768D9">
          <w:rPr>
            <w:noProof/>
            <w:webHidden/>
          </w:rPr>
          <w:instrText xml:space="preserve"> PAGEREF _Toc147910422 \h </w:instrText>
        </w:r>
        <w:r w:rsidR="004768D9">
          <w:rPr>
            <w:noProof/>
            <w:webHidden/>
          </w:rPr>
        </w:r>
        <w:r w:rsidR="004768D9">
          <w:rPr>
            <w:noProof/>
            <w:webHidden/>
          </w:rPr>
          <w:fldChar w:fldCharType="separate"/>
        </w:r>
        <w:r w:rsidR="004768D9">
          <w:rPr>
            <w:noProof/>
            <w:webHidden/>
          </w:rPr>
          <w:t>8</w:t>
        </w:r>
        <w:r w:rsidR="004768D9">
          <w:rPr>
            <w:noProof/>
            <w:webHidden/>
          </w:rPr>
          <w:fldChar w:fldCharType="end"/>
        </w:r>
      </w:hyperlink>
    </w:p>
    <w:p w14:paraId="2457622E" w14:textId="179A986F" w:rsidR="00D11227" w:rsidRDefault="00582D75" w:rsidP="00C43484">
      <w:pPr>
        <w:pStyle w:val="listoftables"/>
      </w:pPr>
      <w:r w:rsidRPr="00C43484">
        <w:fldChar w:fldCharType="end"/>
      </w:r>
    </w:p>
    <w:p w14:paraId="7886D0FA" w14:textId="77777777" w:rsidR="00582D75" w:rsidRDefault="00582D75" w:rsidP="00D11227">
      <w:pPr>
        <w:pBdr>
          <w:bottom w:val="single" w:sz="8" w:space="10" w:color="787878" w:themeColor="text2"/>
        </w:pBdr>
        <w:spacing w:after="400" w:line="240" w:lineRule="auto"/>
        <w:jc w:val="center"/>
        <w:rPr>
          <w:rFonts w:ascii="Koblenz Serial Light" w:hAnsi="Koblenz Serial Light"/>
          <w:caps/>
          <w:color w:val="DA291C" w:themeColor="background2"/>
          <w:sz w:val="48"/>
          <w:szCs w:val="40"/>
        </w:rPr>
      </w:pPr>
    </w:p>
    <w:p w14:paraId="475E3C60" w14:textId="4FA498CD" w:rsidR="00D11227" w:rsidRPr="00D11227" w:rsidRDefault="00D11227" w:rsidP="00D11227">
      <w:pPr>
        <w:pBdr>
          <w:bottom w:val="single" w:sz="8" w:space="10" w:color="787878" w:themeColor="text2"/>
        </w:pBdr>
        <w:spacing w:after="400" w:line="240" w:lineRule="auto"/>
        <w:jc w:val="center"/>
        <w:rPr>
          <w:rFonts w:ascii="Koblenz Serial Light" w:hAnsi="Koblenz Serial Light"/>
          <w:caps/>
          <w:color w:val="DA291C" w:themeColor="background2"/>
          <w:sz w:val="48"/>
          <w:szCs w:val="40"/>
        </w:rPr>
      </w:pPr>
      <w:r w:rsidRPr="00D11227">
        <w:rPr>
          <w:rFonts w:ascii="Koblenz Serial Light" w:hAnsi="Koblenz Serial Light"/>
          <w:caps/>
          <w:color w:val="DA291C" w:themeColor="background2"/>
          <w:sz w:val="48"/>
          <w:szCs w:val="40"/>
        </w:rPr>
        <w:t>List of abbreviations</w:t>
      </w:r>
    </w:p>
    <w:p w14:paraId="053F1B86" w14:textId="59D69863" w:rsidR="00D11227" w:rsidRPr="00D11227" w:rsidRDefault="00D11227" w:rsidP="00B23CDB">
      <w:pPr>
        <w:ind w:left="540" w:hanging="540"/>
        <w:rPr>
          <w:rFonts w:ascii="Univers Com 45 Light" w:hAnsi="Univers Com 45 Light"/>
        </w:rPr>
      </w:pPr>
      <w:r w:rsidRPr="00D11227">
        <w:rPr>
          <w:rFonts w:ascii="Univers Com 45 Light" w:hAnsi="Univers Com 45 Light"/>
          <w:b/>
          <w:bCs/>
        </w:rPr>
        <w:t>CALD</w:t>
      </w:r>
      <w:r w:rsidRPr="00D11227">
        <w:rPr>
          <w:rFonts w:ascii="Univers Com 45 Light" w:hAnsi="Univers Com 45 Light"/>
        </w:rPr>
        <w:tab/>
      </w:r>
      <w:r w:rsidRPr="00D11227">
        <w:rPr>
          <w:rFonts w:ascii="Univers Com 45 Light" w:hAnsi="Univers Com 45 Light"/>
        </w:rPr>
        <w:tab/>
      </w:r>
      <w:r w:rsidR="00DB30CE">
        <w:rPr>
          <w:rFonts w:ascii="Univers Com 45 Light" w:hAnsi="Univers Com 45 Light"/>
        </w:rPr>
        <w:tab/>
      </w:r>
      <w:r w:rsidR="00347FA1">
        <w:rPr>
          <w:rFonts w:ascii="Univers Com 45 Light" w:hAnsi="Univers Com 45 Light"/>
        </w:rPr>
        <w:t>c</w:t>
      </w:r>
      <w:r w:rsidRPr="00347FA1">
        <w:rPr>
          <w:rFonts w:ascii="Univers Com 45 Light" w:hAnsi="Univers Com 45 Light"/>
        </w:rPr>
        <w:t xml:space="preserve">ulturally and </w:t>
      </w:r>
      <w:r w:rsidR="00347FA1">
        <w:rPr>
          <w:rFonts w:ascii="Univers Com 45 Light" w:hAnsi="Univers Com 45 Light"/>
        </w:rPr>
        <w:t>l</w:t>
      </w:r>
      <w:r w:rsidRPr="00347FA1">
        <w:rPr>
          <w:rFonts w:ascii="Univers Com 45 Light" w:hAnsi="Univers Com 45 Light"/>
        </w:rPr>
        <w:t xml:space="preserve">inguistically </w:t>
      </w:r>
      <w:r w:rsidR="00347FA1">
        <w:rPr>
          <w:rFonts w:ascii="Univers Com 45 Light" w:hAnsi="Univers Com 45 Light"/>
        </w:rPr>
        <w:t>d</w:t>
      </w:r>
      <w:r w:rsidRPr="00347FA1">
        <w:rPr>
          <w:rFonts w:ascii="Univers Com 45 Light" w:hAnsi="Univers Com 45 Light"/>
        </w:rPr>
        <w:t>iverse</w:t>
      </w:r>
    </w:p>
    <w:p w14:paraId="3054521D" w14:textId="18A10255" w:rsidR="00D11227" w:rsidRPr="00846A61" w:rsidRDefault="00D11227" w:rsidP="00B23CDB">
      <w:pPr>
        <w:ind w:left="540" w:hanging="540"/>
        <w:rPr>
          <w:rFonts w:ascii="Univers Com 45 Light" w:hAnsi="Univers Com 45 Light"/>
          <w:b/>
          <w:bCs/>
        </w:rPr>
      </w:pPr>
      <w:r w:rsidRPr="00D11227">
        <w:rPr>
          <w:rFonts w:ascii="Univers Com 45 Light" w:hAnsi="Univers Com 45 Light"/>
          <w:b/>
          <w:bCs/>
        </w:rPr>
        <w:t>DSS</w:t>
      </w:r>
      <w:r w:rsidRPr="00846A61">
        <w:rPr>
          <w:rFonts w:ascii="Univers Com 45 Light" w:hAnsi="Univers Com 45 Light"/>
          <w:b/>
          <w:bCs/>
        </w:rPr>
        <w:t xml:space="preserve"> </w:t>
      </w:r>
      <w:r w:rsidRPr="00846A61">
        <w:rPr>
          <w:rFonts w:ascii="Univers Com 45 Light" w:hAnsi="Univers Com 45 Light"/>
          <w:b/>
          <w:bCs/>
        </w:rPr>
        <w:tab/>
      </w:r>
      <w:r w:rsidR="00DB30CE">
        <w:rPr>
          <w:rFonts w:ascii="Univers Com 45 Light" w:hAnsi="Univers Com 45 Light"/>
          <w:b/>
          <w:bCs/>
        </w:rPr>
        <w:tab/>
      </w:r>
      <w:r w:rsidRPr="00846A61">
        <w:rPr>
          <w:rFonts w:ascii="Univers Com 45 Light" w:hAnsi="Univers Com 45 Light"/>
          <w:b/>
          <w:bCs/>
        </w:rPr>
        <w:tab/>
      </w:r>
      <w:r w:rsidRPr="00EA5DDE">
        <w:rPr>
          <w:rFonts w:ascii="Univers Com 45 Light" w:hAnsi="Univers Com 45 Light"/>
        </w:rPr>
        <w:t>Department of Social Services</w:t>
      </w:r>
    </w:p>
    <w:p w14:paraId="2DDF0212" w14:textId="73E32DB9" w:rsidR="00D11227" w:rsidRPr="00846A61" w:rsidRDefault="00D11227" w:rsidP="00B23CDB">
      <w:pPr>
        <w:ind w:left="540" w:hanging="540"/>
        <w:rPr>
          <w:rFonts w:ascii="Univers Com 45 Light" w:hAnsi="Univers Com 45 Light"/>
          <w:b/>
          <w:bCs/>
        </w:rPr>
      </w:pPr>
      <w:r w:rsidRPr="00D11227">
        <w:rPr>
          <w:rFonts w:ascii="Univers Com 45 Light" w:hAnsi="Univers Com 45 Light"/>
          <w:b/>
          <w:bCs/>
        </w:rPr>
        <w:t>FDV</w:t>
      </w:r>
      <w:r w:rsidRPr="00846A61">
        <w:rPr>
          <w:rFonts w:ascii="Univers Com 45 Light" w:hAnsi="Univers Com 45 Light"/>
          <w:b/>
          <w:bCs/>
        </w:rPr>
        <w:tab/>
      </w:r>
      <w:r w:rsidRPr="00846A61">
        <w:rPr>
          <w:rFonts w:ascii="Univers Com 45 Light" w:hAnsi="Univers Com 45 Light"/>
          <w:b/>
          <w:bCs/>
        </w:rPr>
        <w:tab/>
      </w:r>
      <w:r w:rsidR="00DB30CE">
        <w:rPr>
          <w:rFonts w:ascii="Univers Com 45 Light" w:hAnsi="Univers Com 45 Light"/>
          <w:b/>
          <w:bCs/>
        </w:rPr>
        <w:tab/>
      </w:r>
      <w:r w:rsidR="00347FA1" w:rsidRPr="00EA5DDE">
        <w:rPr>
          <w:rFonts w:ascii="Univers Com 45 Light" w:hAnsi="Univers Com 45 Light"/>
        </w:rPr>
        <w:t>f</w:t>
      </w:r>
      <w:r w:rsidRPr="00EA5DDE">
        <w:rPr>
          <w:rFonts w:ascii="Univers Com 45 Light" w:hAnsi="Univers Com 45 Light"/>
        </w:rPr>
        <w:t>amily and</w:t>
      </w:r>
      <w:r w:rsidR="00347FA1" w:rsidRPr="00EA5DDE">
        <w:rPr>
          <w:rFonts w:ascii="Univers Com 45 Light" w:hAnsi="Univers Com 45 Light"/>
        </w:rPr>
        <w:t xml:space="preserve"> d</w:t>
      </w:r>
      <w:r w:rsidRPr="00EA5DDE">
        <w:rPr>
          <w:rFonts w:ascii="Univers Com 45 Light" w:hAnsi="Univers Com 45 Light"/>
        </w:rPr>
        <w:t xml:space="preserve">omestic </w:t>
      </w:r>
      <w:r w:rsidR="00347FA1" w:rsidRPr="00EA5DDE">
        <w:rPr>
          <w:rFonts w:ascii="Univers Com 45 Light" w:hAnsi="Univers Com 45 Light"/>
        </w:rPr>
        <w:t>v</w:t>
      </w:r>
      <w:r w:rsidRPr="00EA5DDE">
        <w:rPr>
          <w:rFonts w:ascii="Univers Com 45 Light" w:hAnsi="Univers Com 45 Light"/>
        </w:rPr>
        <w:t>iolence</w:t>
      </w:r>
    </w:p>
    <w:p w14:paraId="5F5F36B7" w14:textId="40CA6AB5" w:rsidR="00D11227" w:rsidRPr="00EA5DDE" w:rsidRDefault="00D11227" w:rsidP="00B23CDB">
      <w:pPr>
        <w:ind w:left="540" w:hanging="540"/>
        <w:rPr>
          <w:rFonts w:ascii="Univers Com 45 Light" w:hAnsi="Univers Com 45 Light"/>
        </w:rPr>
      </w:pPr>
      <w:r w:rsidRPr="00D11227">
        <w:rPr>
          <w:rFonts w:ascii="Univers Com 45 Light" w:hAnsi="Univers Com 45 Light"/>
          <w:b/>
          <w:bCs/>
        </w:rPr>
        <w:t>Safe Places</w:t>
      </w:r>
      <w:r w:rsidRPr="00846A61">
        <w:rPr>
          <w:rFonts w:ascii="Univers Com 45 Light" w:hAnsi="Univers Com 45 Light"/>
          <w:b/>
          <w:bCs/>
        </w:rPr>
        <w:tab/>
      </w:r>
      <w:r w:rsidRPr="00EA5DDE">
        <w:rPr>
          <w:rFonts w:ascii="Univers Com 45 Light" w:hAnsi="Univers Com 45 Light"/>
        </w:rPr>
        <w:t>Safe Places Emergency Accommodation Program</w:t>
      </w:r>
    </w:p>
    <w:p w14:paraId="25327DD1" w14:textId="77777777" w:rsidR="0083667F" w:rsidRDefault="0083667F" w:rsidP="00D11227"/>
    <w:p w14:paraId="4968731F" w14:textId="77777777" w:rsidR="00A2105C" w:rsidRDefault="00A2105C" w:rsidP="00D11227"/>
    <w:p w14:paraId="6C63D3AF" w14:textId="5000CA94" w:rsidR="00A2105C" w:rsidRDefault="00A2105C" w:rsidP="00D11227">
      <w:pPr>
        <w:sectPr w:rsidR="00A2105C" w:rsidSect="00AF5E46">
          <w:footerReference w:type="default" r:id="rId14"/>
          <w:pgSz w:w="11906" w:h="16838" w:code="9"/>
          <w:pgMar w:top="1276" w:right="851" w:bottom="1418" w:left="1701" w:header="709" w:footer="811" w:gutter="0"/>
          <w:pgNumType w:start="1"/>
          <w:cols w:space="708"/>
          <w:docGrid w:linePitch="360"/>
        </w:sectPr>
      </w:pPr>
    </w:p>
    <w:p w14:paraId="6E7AF8E2" w14:textId="06AD6654" w:rsidR="00F658CE" w:rsidRDefault="0007747B" w:rsidP="00B21EFB">
      <w:pPr>
        <w:pStyle w:val="Heading1"/>
      </w:pPr>
      <w:bookmarkStart w:id="1" w:name="_Toc147910393"/>
      <w:r>
        <w:lastRenderedPageBreak/>
        <w:t xml:space="preserve">Executive </w:t>
      </w:r>
      <w:r w:rsidR="008454B1">
        <w:t>s</w:t>
      </w:r>
      <w:r>
        <w:t>ummary</w:t>
      </w:r>
      <w:bookmarkEnd w:id="1"/>
    </w:p>
    <w:p w14:paraId="7EAAE91D" w14:textId="3034D1C4" w:rsidR="007C66D4" w:rsidRDefault="0007747B" w:rsidP="007C66D4">
      <w:r w:rsidRPr="00573A26">
        <w:t xml:space="preserve">CIRCA conducted </w:t>
      </w:r>
      <w:r w:rsidR="00573A26">
        <w:t>6</w:t>
      </w:r>
      <w:r w:rsidRPr="00573A26">
        <w:t xml:space="preserve"> online focus groups with </w:t>
      </w:r>
      <w:r w:rsidR="00C91EEF" w:rsidRPr="00573A26">
        <w:t>sector</w:t>
      </w:r>
      <w:r w:rsidR="00C91EEF" w:rsidRPr="007C66D4">
        <w:t xml:space="preserve"> stakeholders </w:t>
      </w:r>
      <w:r w:rsidR="001963F6">
        <w:t xml:space="preserve">from 23 February to 7 March 2023 </w:t>
      </w:r>
      <w:r w:rsidRPr="007C66D4">
        <w:t xml:space="preserve">to explore </w:t>
      </w:r>
      <w:r w:rsidR="00C91EEF" w:rsidRPr="007C66D4">
        <w:t xml:space="preserve">the accessibility and cultural needs of women and children </w:t>
      </w:r>
      <w:r w:rsidR="00E95962">
        <w:t xml:space="preserve">victim-survivors of family and domestic violence (FDV), </w:t>
      </w:r>
      <w:r w:rsidR="00C91EEF" w:rsidRPr="007C66D4">
        <w:t>who access emergency accommodation</w:t>
      </w:r>
      <w:r w:rsidRPr="00C932BB">
        <w:t>.</w:t>
      </w:r>
      <w:r w:rsidR="00C91EEF" w:rsidRPr="00C932BB">
        <w:t xml:space="preserve"> </w:t>
      </w:r>
      <w:r w:rsidR="00C932BB">
        <w:t>P</w:t>
      </w:r>
      <w:r w:rsidR="001963F6">
        <w:t>articipants were</w:t>
      </w:r>
      <w:r w:rsidR="00C91EEF">
        <w:t xml:space="preserve"> </w:t>
      </w:r>
      <w:r w:rsidR="001963F6">
        <w:t xml:space="preserve">experienced in </w:t>
      </w:r>
      <w:r w:rsidR="00C91EEF">
        <w:t>working with</w:t>
      </w:r>
      <w:r w:rsidR="007C66D4" w:rsidRPr="007C66D4">
        <w:t xml:space="preserve"> First Nations women and children, </w:t>
      </w:r>
      <w:r w:rsidR="00C932BB">
        <w:t xml:space="preserve">with </w:t>
      </w:r>
      <w:r w:rsidR="007C66D4" w:rsidRPr="007C66D4">
        <w:t xml:space="preserve">women and children from </w:t>
      </w:r>
      <w:r w:rsidR="00347FA1">
        <w:t>c</w:t>
      </w:r>
      <w:r w:rsidR="007C66D4" w:rsidRPr="007C66D4">
        <w:t xml:space="preserve">ulturally and </w:t>
      </w:r>
      <w:r w:rsidR="00347FA1">
        <w:t>l</w:t>
      </w:r>
      <w:r w:rsidR="007C66D4" w:rsidRPr="007C66D4">
        <w:t xml:space="preserve">inguistically </w:t>
      </w:r>
      <w:r w:rsidR="00347FA1">
        <w:t>d</w:t>
      </w:r>
      <w:r w:rsidR="007C66D4" w:rsidRPr="007C66D4">
        <w:t>iverse</w:t>
      </w:r>
      <w:r w:rsidR="006E56BB">
        <w:t xml:space="preserve"> </w:t>
      </w:r>
      <w:r w:rsidR="00E95962">
        <w:t>(</w:t>
      </w:r>
      <w:r w:rsidR="006E56BB">
        <w:t>CALD</w:t>
      </w:r>
      <w:r w:rsidR="00E95962">
        <w:t>)</w:t>
      </w:r>
      <w:r w:rsidR="007C66D4" w:rsidRPr="007C66D4">
        <w:t xml:space="preserve"> communities, </w:t>
      </w:r>
      <w:r w:rsidR="00C932BB">
        <w:t>or with</w:t>
      </w:r>
      <w:r w:rsidR="007C66D4" w:rsidRPr="007C66D4">
        <w:t xml:space="preserve"> women and children with disability</w:t>
      </w:r>
      <w:r w:rsidR="009A2676">
        <w:t xml:space="preserve">, </w:t>
      </w:r>
      <w:r w:rsidR="00C932BB">
        <w:t xml:space="preserve">and </w:t>
      </w:r>
      <w:r w:rsidR="009A2676">
        <w:t>represent</w:t>
      </w:r>
      <w:r w:rsidR="00C932BB">
        <w:t>ed</w:t>
      </w:r>
      <w:r w:rsidR="009A2676">
        <w:t xml:space="preserve"> organisations that service urban and regional</w:t>
      </w:r>
      <w:r w:rsidR="00C932BB">
        <w:t xml:space="preserve"> or </w:t>
      </w:r>
      <w:r w:rsidR="009A2676">
        <w:t xml:space="preserve">remote areas. </w:t>
      </w:r>
    </w:p>
    <w:p w14:paraId="7DBDF6D7" w14:textId="0FCFC289" w:rsidR="00867727" w:rsidRDefault="00BE4978" w:rsidP="008C5171">
      <w:r>
        <w:t>This section summarises t</w:t>
      </w:r>
      <w:r w:rsidR="0007747B">
        <w:t xml:space="preserve">he key findings from </w:t>
      </w:r>
      <w:r w:rsidR="00C932BB">
        <w:t xml:space="preserve">the </w:t>
      </w:r>
      <w:r w:rsidR="0007747B">
        <w:t>research</w:t>
      </w:r>
      <w:r w:rsidR="00C932BB">
        <w:t xml:space="preserve">. </w:t>
      </w:r>
    </w:p>
    <w:p w14:paraId="7BB3994D" w14:textId="12B6B354" w:rsidR="00867727" w:rsidRDefault="002D609A" w:rsidP="00867727">
      <w:pPr>
        <w:pStyle w:val="BodyHeadingBlue"/>
      </w:pPr>
      <w:r>
        <w:t>Appropriate</w:t>
      </w:r>
      <w:r w:rsidR="00C63356">
        <w:t xml:space="preserve"> design features</w:t>
      </w:r>
      <w:r w:rsidR="001702D1">
        <w:t xml:space="preserve"> and location</w:t>
      </w:r>
      <w:r w:rsidR="00C63356">
        <w:t xml:space="preserve"> for emergency accommodation</w:t>
      </w:r>
    </w:p>
    <w:p w14:paraId="340D2146" w14:textId="7DB300A4" w:rsidR="00EE5F9E" w:rsidRDefault="00237B6E" w:rsidP="00DC3BFC">
      <w:pPr>
        <w:pStyle w:val="Bulletlist"/>
      </w:pPr>
      <w:r w:rsidRPr="00E32E4A">
        <w:t>Fo</w:t>
      </w:r>
      <w:r>
        <w:t>cus group participants suggested some</w:t>
      </w:r>
      <w:r w:rsidR="00E464F9">
        <w:t xml:space="preserve"> physical design and cultural</w:t>
      </w:r>
      <w:r>
        <w:t xml:space="preserve"> features </w:t>
      </w:r>
      <w:r w:rsidR="000C22B6">
        <w:t>needed by</w:t>
      </w:r>
      <w:r>
        <w:t xml:space="preserve"> all women and children</w:t>
      </w:r>
      <w:r w:rsidR="00E95962">
        <w:t xml:space="preserve"> victim-survivors exiting FDV</w:t>
      </w:r>
      <w:r>
        <w:t>, regardless of background or identity</w:t>
      </w:r>
      <w:r w:rsidR="00BE21DC">
        <w:t xml:space="preserve">. </w:t>
      </w:r>
      <w:r w:rsidR="00BE21DC" w:rsidRPr="00E32E4A">
        <w:t>Th</w:t>
      </w:r>
      <w:r w:rsidR="00E32E4A">
        <w:t>e</w:t>
      </w:r>
      <w:r w:rsidR="00BE21DC" w:rsidRPr="00E32E4A">
        <w:t>s</w:t>
      </w:r>
      <w:r w:rsidR="00E32E4A">
        <w:t>e</w:t>
      </w:r>
      <w:r w:rsidR="00BE21DC" w:rsidRPr="00E32E4A">
        <w:t xml:space="preserve"> in</w:t>
      </w:r>
      <w:r w:rsidR="00BE21DC">
        <w:t xml:space="preserve">clude </w:t>
      </w:r>
      <w:r w:rsidR="00E32E4A">
        <w:t>a</w:t>
      </w:r>
      <w:r w:rsidR="00BE21DC">
        <w:t xml:space="preserve"> dwelling </w:t>
      </w:r>
      <w:r w:rsidR="00E32E4A">
        <w:t xml:space="preserve">that </w:t>
      </w:r>
      <w:r w:rsidR="00BE21DC">
        <w:t xml:space="preserve">is </w:t>
      </w:r>
      <w:r w:rsidR="00BE21DC" w:rsidRPr="00EE6FDF">
        <w:rPr>
          <w:b/>
          <w:bCs/>
        </w:rPr>
        <w:t xml:space="preserve">safe and secure, private, comfortable, simple </w:t>
      </w:r>
      <w:r w:rsidR="00BE21DC" w:rsidRPr="00335C15">
        <w:t>and</w:t>
      </w:r>
      <w:r w:rsidR="00E32E4A">
        <w:t>,</w:t>
      </w:r>
      <w:r w:rsidR="00BE21DC" w:rsidRPr="00335C15">
        <w:t xml:space="preserve"> </w:t>
      </w:r>
      <w:r w:rsidR="00335C15" w:rsidRPr="00335C15">
        <w:t>where possible, blocks of dwellings hav</w:t>
      </w:r>
      <w:r w:rsidR="003B37EE">
        <w:t>e</w:t>
      </w:r>
      <w:r w:rsidR="00335C15" w:rsidRPr="00335C15">
        <w:t xml:space="preserve"> </w:t>
      </w:r>
      <w:r w:rsidR="00BE21DC" w:rsidRPr="00335C15">
        <w:t>a</w:t>
      </w:r>
      <w:r w:rsidR="00BE21DC" w:rsidRPr="00EE6FDF">
        <w:rPr>
          <w:b/>
          <w:bCs/>
        </w:rPr>
        <w:t xml:space="preserve"> communal area like a garden</w:t>
      </w:r>
      <w:r w:rsidR="00BE21DC">
        <w:t xml:space="preserve"> (illustrated in </w:t>
      </w:r>
      <w:r w:rsidR="00DC3BFC">
        <w:fldChar w:fldCharType="begin"/>
      </w:r>
      <w:r w:rsidR="00DC3BFC">
        <w:instrText xml:space="preserve"> REF _Ref131426314 \h </w:instrText>
      </w:r>
      <w:r w:rsidR="00DC3BFC">
        <w:fldChar w:fldCharType="separate"/>
      </w:r>
      <w:r w:rsidR="007A3383">
        <w:t xml:space="preserve">Figure </w:t>
      </w:r>
      <w:r w:rsidR="007A3383">
        <w:rPr>
          <w:noProof/>
        </w:rPr>
        <w:t>1</w:t>
      </w:r>
      <w:r w:rsidR="00DC3BFC">
        <w:fldChar w:fldCharType="end"/>
      </w:r>
      <w:r w:rsidR="00DC3BFC">
        <w:t xml:space="preserve"> </w:t>
      </w:r>
      <w:r w:rsidR="00BE21DC">
        <w:t>below)</w:t>
      </w:r>
      <w:r w:rsidR="00DC3BFC">
        <w:t>.</w:t>
      </w:r>
    </w:p>
    <w:p w14:paraId="76C24F78" w14:textId="7A0FE01E" w:rsidR="00DC3BFC" w:rsidRPr="000835D9" w:rsidRDefault="00DC3BFC" w:rsidP="000835D9">
      <w:pPr>
        <w:pStyle w:val="TableFigureChartTitle"/>
      </w:pPr>
      <w:bookmarkStart w:id="2" w:name="_Ref131426314"/>
      <w:bookmarkStart w:id="3" w:name="_Toc147910417"/>
      <w:r w:rsidRPr="000835D9">
        <w:t xml:space="preserve">Figure </w:t>
      </w:r>
      <w:r w:rsidR="004D727B">
        <w:fldChar w:fldCharType="begin"/>
      </w:r>
      <w:r w:rsidR="004D727B">
        <w:instrText xml:space="preserve"> SEQ Figure \* ARABIC </w:instrText>
      </w:r>
      <w:r w:rsidR="004D727B">
        <w:fldChar w:fldCharType="separate"/>
      </w:r>
      <w:r w:rsidR="007A3383" w:rsidRPr="000835D9">
        <w:t>1</w:t>
      </w:r>
      <w:r w:rsidR="004D727B">
        <w:fldChar w:fldCharType="end"/>
      </w:r>
      <w:bookmarkEnd w:id="2"/>
      <w:r w:rsidRPr="000835D9">
        <w:t xml:space="preserve">: Key features recommended for all women and children </w:t>
      </w:r>
      <w:r w:rsidR="000C22B6" w:rsidRPr="000835D9">
        <w:t xml:space="preserve">victim-survivors </w:t>
      </w:r>
      <w:r w:rsidRPr="000835D9">
        <w:t xml:space="preserve">in emergency </w:t>
      </w:r>
      <w:r w:rsidR="00F42511" w:rsidRPr="000835D9">
        <w:t>accommodation.</w:t>
      </w:r>
      <w:bookmarkEnd w:id="3"/>
    </w:p>
    <w:p w14:paraId="176FB505" w14:textId="646B495B" w:rsidR="00CE118A" w:rsidRDefault="006F0C72" w:rsidP="0031439F">
      <w:pPr>
        <w:pStyle w:val="Bulletlist"/>
        <w:numPr>
          <w:ilvl w:val="0"/>
          <w:numId w:val="0"/>
        </w:numPr>
      </w:pPr>
      <w:r>
        <w:rPr>
          <w:noProof/>
          <w:lang w:eastAsia="en-AU"/>
        </w:rPr>
        <w:drawing>
          <wp:inline distT="0" distB="0" distL="0" distR="0" wp14:anchorId="02EA117D" wp14:editId="50A1C201">
            <wp:extent cx="5974374" cy="3771900"/>
            <wp:effectExtent l="0" t="0" r="0" b="0"/>
            <wp:docPr id="1314475434" name="Picture 2" descr="Key features recommended for all women and children victim-survivors in emergency accommodation, including private dwelling, comfortable and homely, simple design, communal areas (like gardens), safe and sec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75434" name="Picture 2" descr="Key features recommended for all women and children victim-survivors in emergency accommodation, including private dwelling, comfortable and homely, simple design, communal areas (like gardens), safe and sec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59532" cy="3825664"/>
                    </a:xfrm>
                    <a:prstGeom prst="rect">
                      <a:avLst/>
                    </a:prstGeom>
                  </pic:spPr>
                </pic:pic>
              </a:graphicData>
            </a:graphic>
          </wp:inline>
        </w:drawing>
      </w:r>
      <w:r w:rsidR="00CE118A">
        <w:br w:type="page"/>
      </w:r>
    </w:p>
    <w:p w14:paraId="4292A860" w14:textId="1C80056B" w:rsidR="005A76DF" w:rsidRDefault="00237B6E" w:rsidP="000A2E40">
      <w:pPr>
        <w:pStyle w:val="Bulletlist"/>
      </w:pPr>
      <w:r w:rsidRPr="00237B6E">
        <w:lastRenderedPageBreak/>
        <w:t>Stakeholders representing organi</w:t>
      </w:r>
      <w:r w:rsidR="006E56BB">
        <w:t>s</w:t>
      </w:r>
      <w:r w:rsidRPr="00237B6E">
        <w:t xml:space="preserve">ations with expertise working with </w:t>
      </w:r>
      <w:r w:rsidR="00DA6329">
        <w:t>CALD</w:t>
      </w:r>
      <w:r w:rsidRPr="00237B6E">
        <w:t xml:space="preserve"> women and children </w:t>
      </w:r>
      <w:r w:rsidR="00FB4D29">
        <w:t xml:space="preserve">suggested </w:t>
      </w:r>
      <w:r w:rsidRPr="00237B6E">
        <w:t xml:space="preserve">features </w:t>
      </w:r>
      <w:r>
        <w:t xml:space="preserve">such as </w:t>
      </w:r>
      <w:r w:rsidRPr="00416325">
        <w:rPr>
          <w:b/>
          <w:bCs/>
        </w:rPr>
        <w:t xml:space="preserve">prayer spaces, enough rooms for large families, </w:t>
      </w:r>
      <w:r w:rsidR="006E56BB" w:rsidRPr="00416325">
        <w:rPr>
          <w:b/>
          <w:bCs/>
        </w:rPr>
        <w:t xml:space="preserve">and </w:t>
      </w:r>
      <w:r w:rsidRPr="00416325">
        <w:rPr>
          <w:b/>
          <w:bCs/>
        </w:rPr>
        <w:t>separate kitchens</w:t>
      </w:r>
      <w:r w:rsidR="006E56BB" w:rsidRPr="00416325">
        <w:rPr>
          <w:b/>
          <w:bCs/>
        </w:rPr>
        <w:t>.</w:t>
      </w:r>
      <w:r>
        <w:t xml:space="preserve"> </w:t>
      </w:r>
    </w:p>
    <w:p w14:paraId="33802F33" w14:textId="21CE810D" w:rsidR="00317081" w:rsidRDefault="00E32E4A" w:rsidP="000A2E40">
      <w:pPr>
        <w:pStyle w:val="Bulletlist"/>
      </w:pPr>
      <w:r>
        <w:t>Participants suggested</w:t>
      </w:r>
      <w:r w:rsidR="000A2E40">
        <w:t xml:space="preserve"> </w:t>
      </w:r>
      <w:r w:rsidR="008F56BE">
        <w:t>features</w:t>
      </w:r>
      <w:r w:rsidRPr="00E32E4A">
        <w:t xml:space="preserve"> </w:t>
      </w:r>
      <w:r w:rsidR="00317081" w:rsidRPr="00E32E4A">
        <w:t xml:space="preserve">for First Nations women and children </w:t>
      </w:r>
      <w:r w:rsidRPr="00E32E4A">
        <w:t xml:space="preserve">should </w:t>
      </w:r>
      <w:r w:rsidR="00317081" w:rsidRPr="00E32E4A">
        <w:t xml:space="preserve">include a </w:t>
      </w:r>
      <w:r w:rsidR="00317081" w:rsidRPr="00E32E4A">
        <w:rPr>
          <w:b/>
          <w:bCs/>
        </w:rPr>
        <w:t>cultural space and guidance fr</w:t>
      </w:r>
      <w:r w:rsidR="00317081" w:rsidRPr="00416325">
        <w:rPr>
          <w:b/>
          <w:bCs/>
        </w:rPr>
        <w:t>om local Elders on</w:t>
      </w:r>
      <w:r w:rsidR="008F56BE">
        <w:rPr>
          <w:b/>
          <w:bCs/>
        </w:rPr>
        <w:t xml:space="preserve"> the</w:t>
      </w:r>
      <w:r w:rsidR="00317081" w:rsidRPr="00416325">
        <w:rPr>
          <w:b/>
          <w:bCs/>
        </w:rPr>
        <w:t xml:space="preserve"> location</w:t>
      </w:r>
      <w:r w:rsidR="00093DFD">
        <w:t>.</w:t>
      </w:r>
      <w:r w:rsidR="00317081" w:rsidRPr="00317081">
        <w:t xml:space="preserve"> </w:t>
      </w:r>
    </w:p>
    <w:p w14:paraId="579F7BB6" w14:textId="4DBEE8DB" w:rsidR="006E236F" w:rsidRDefault="00DC0B4E" w:rsidP="00237B6E">
      <w:pPr>
        <w:pStyle w:val="Bulletlist"/>
      </w:pPr>
      <w:r w:rsidRPr="00E32E4A">
        <w:t xml:space="preserve">Stakeholders in the disability sector emphasised the </w:t>
      </w:r>
      <w:r w:rsidRPr="00E32E4A">
        <w:rPr>
          <w:b/>
          <w:bCs/>
        </w:rPr>
        <w:t>importance of private dwellings for families</w:t>
      </w:r>
      <w:r w:rsidRPr="00EE6FDF">
        <w:rPr>
          <w:b/>
          <w:bCs/>
        </w:rPr>
        <w:t xml:space="preserve"> with disabilities</w:t>
      </w:r>
      <w:r w:rsidR="006E56BB">
        <w:t xml:space="preserve">, </w:t>
      </w:r>
      <w:r w:rsidRPr="00EE6FDF">
        <w:rPr>
          <w:b/>
          <w:bCs/>
        </w:rPr>
        <w:t xml:space="preserve">a separate room for carers, rooms tailored to clients' specific needs </w:t>
      </w:r>
      <w:r w:rsidR="00EE6FDF" w:rsidRPr="00EE6FDF">
        <w:t>and</w:t>
      </w:r>
      <w:r w:rsidR="00EE6FDF">
        <w:rPr>
          <w:b/>
          <w:bCs/>
        </w:rPr>
        <w:t xml:space="preserve"> </w:t>
      </w:r>
      <w:r w:rsidRPr="00EE6FDF">
        <w:rPr>
          <w:b/>
          <w:bCs/>
        </w:rPr>
        <w:t>sensory awareness</w:t>
      </w:r>
      <w:r w:rsidR="006E56BB" w:rsidRPr="00EE6FDF">
        <w:rPr>
          <w:b/>
          <w:bCs/>
        </w:rPr>
        <w:t xml:space="preserve"> </w:t>
      </w:r>
      <w:r w:rsidR="006E56BB">
        <w:t>when designing accommodation</w:t>
      </w:r>
      <w:r w:rsidR="00EE6FDF">
        <w:t>.</w:t>
      </w:r>
      <w:r w:rsidRPr="00DC0B4E">
        <w:t xml:space="preserve"> </w:t>
      </w:r>
    </w:p>
    <w:p w14:paraId="1C59DA33" w14:textId="7533C678" w:rsidR="00DC0B4E" w:rsidRDefault="00455DAE" w:rsidP="00237B6E">
      <w:pPr>
        <w:pStyle w:val="Bulletlist"/>
      </w:pPr>
      <w:r>
        <w:t>P</w:t>
      </w:r>
      <w:r w:rsidR="00DC0B4E" w:rsidRPr="00DC0B4E">
        <w:t xml:space="preserve">articipants found the Livable Housing Silver Level appropriate for </w:t>
      </w:r>
      <w:r>
        <w:t>most women and children,</w:t>
      </w:r>
      <w:r w:rsidR="00093DFD">
        <w:t xml:space="preserve"> </w:t>
      </w:r>
      <w:r>
        <w:t>but</w:t>
      </w:r>
      <w:r w:rsidR="00DC0B4E" w:rsidRPr="008F56BE">
        <w:rPr>
          <w:b/>
          <w:bCs/>
        </w:rPr>
        <w:t xml:space="preserve"> </w:t>
      </w:r>
      <w:r w:rsidRPr="008F56BE">
        <w:rPr>
          <w:b/>
          <w:bCs/>
        </w:rPr>
        <w:t>s</w:t>
      </w:r>
      <w:r w:rsidR="00DC0B4E" w:rsidRPr="008F56BE">
        <w:rPr>
          <w:b/>
          <w:bCs/>
        </w:rPr>
        <w:t>ome suggested that Gold or Platinum Level</w:t>
      </w:r>
      <w:r w:rsidR="00DC0B4E" w:rsidRPr="008F56BE">
        <w:t xml:space="preserve"> </w:t>
      </w:r>
      <w:r w:rsidR="00DC0B4E" w:rsidRPr="008F56BE">
        <w:rPr>
          <w:b/>
          <w:bCs/>
        </w:rPr>
        <w:t>is more suitable</w:t>
      </w:r>
      <w:r w:rsidR="008F56BE" w:rsidRPr="008F56BE">
        <w:rPr>
          <w:b/>
          <w:bCs/>
        </w:rPr>
        <w:t xml:space="preserve"> to be accessible for those with disability</w:t>
      </w:r>
      <w:r w:rsidR="008F56BE">
        <w:t xml:space="preserve">. </w:t>
      </w:r>
    </w:p>
    <w:p w14:paraId="3E148B47" w14:textId="5E51E599" w:rsidR="00CC013F" w:rsidRDefault="006E56BB" w:rsidP="00142E81">
      <w:pPr>
        <w:pStyle w:val="Bulletlist"/>
      </w:pPr>
      <w:r>
        <w:t>In terms of location, s</w:t>
      </w:r>
      <w:r w:rsidR="00CC013F" w:rsidRPr="00CC013F">
        <w:t xml:space="preserve">takeholders </w:t>
      </w:r>
      <w:r>
        <w:t>suggested</w:t>
      </w:r>
      <w:r w:rsidR="00CC013F" w:rsidRPr="00CC013F">
        <w:t xml:space="preserve"> that </w:t>
      </w:r>
      <w:r w:rsidR="00CC013F">
        <w:t xml:space="preserve">a </w:t>
      </w:r>
      <w:r w:rsidR="00CC013F" w:rsidRPr="00EE6FDF">
        <w:rPr>
          <w:b/>
          <w:bCs/>
        </w:rPr>
        <w:t>central location is important for emergency accommodation, but not on a main road</w:t>
      </w:r>
      <w:r w:rsidR="00CC013F" w:rsidRPr="00CC013F">
        <w:t xml:space="preserve"> to ensure privacy and safety</w:t>
      </w:r>
      <w:r>
        <w:t>.</w:t>
      </w:r>
      <w:r w:rsidR="00FB4D29">
        <w:t xml:space="preserve"> </w:t>
      </w:r>
      <w:r w:rsidR="006E236F">
        <w:t>Participants also reported that e</w:t>
      </w:r>
      <w:r w:rsidR="00CC013F" w:rsidRPr="00CC013F">
        <w:t xml:space="preserve">mergency accommodation should be </w:t>
      </w:r>
      <w:r w:rsidR="00CC013F" w:rsidRPr="00EE6FDF">
        <w:rPr>
          <w:b/>
          <w:bCs/>
        </w:rPr>
        <w:t xml:space="preserve">close to shops, public transport and other </w:t>
      </w:r>
      <w:r w:rsidR="003676FF">
        <w:rPr>
          <w:b/>
          <w:bCs/>
        </w:rPr>
        <w:t>wrap-around</w:t>
      </w:r>
      <w:r w:rsidR="00CC013F" w:rsidRPr="00EE6FDF">
        <w:rPr>
          <w:b/>
          <w:bCs/>
        </w:rPr>
        <w:t xml:space="preserve"> supports and services</w:t>
      </w:r>
      <w:r w:rsidR="00CC013F" w:rsidRPr="00CC013F">
        <w:t xml:space="preserve">. </w:t>
      </w:r>
    </w:p>
    <w:p w14:paraId="352FF7D6" w14:textId="06E2101A" w:rsidR="0090046B" w:rsidRDefault="00C63356" w:rsidP="0090046B">
      <w:pPr>
        <w:pStyle w:val="BodyHeadingBlue"/>
      </w:pPr>
      <w:r>
        <w:t>Supports and services</w:t>
      </w:r>
      <w:r w:rsidR="008C5171">
        <w:t xml:space="preserve"> </w:t>
      </w:r>
      <w:r w:rsidR="00817A31">
        <w:t>required</w:t>
      </w:r>
      <w:r w:rsidR="008C5171">
        <w:t xml:space="preserve"> alongside emergency accommodation</w:t>
      </w:r>
    </w:p>
    <w:p w14:paraId="6E46F0CD" w14:textId="7A370DE8" w:rsidR="000835D9" w:rsidRDefault="00C31470" w:rsidP="000835D9">
      <w:pPr>
        <w:pStyle w:val="Bulletlist"/>
        <w:numPr>
          <w:ilvl w:val="0"/>
          <w:numId w:val="0"/>
        </w:numPr>
      </w:pPr>
      <w:r>
        <w:rPr>
          <w:noProof/>
          <w:lang w:eastAsia="en-AU"/>
        </w:rPr>
        <w:drawing>
          <wp:inline distT="0" distB="0" distL="0" distR="0" wp14:anchorId="2D1D6BE0" wp14:editId="47298E6C">
            <wp:extent cx="6045200" cy="3059916"/>
            <wp:effectExtent l="0" t="0" r="0" b="0"/>
            <wp:docPr id="2036092201" name="Picture 1" descr="Figure 2: Suggested support services alongside emergency accommodation for all women and children victim-survivors and additional services required for CALD and First Nations women and child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092201" name="Picture 1" descr="Figure 2: Suggested support services alongside emergency accommodation for all women and children victim-survivors and additional services required for CALD and First Nations women and children. "/>
                    <pic:cNvPicPr/>
                  </pic:nvPicPr>
                  <pic:blipFill rotWithShape="1">
                    <a:blip r:embed="rId16" cstate="print">
                      <a:extLst>
                        <a:ext uri="{28A0092B-C50C-407E-A947-70E740481C1C}">
                          <a14:useLocalDpi xmlns:a14="http://schemas.microsoft.com/office/drawing/2010/main" val="0"/>
                        </a:ext>
                      </a:extLst>
                    </a:blip>
                    <a:srcRect r="13406" b="27817"/>
                    <a:stretch/>
                  </pic:blipFill>
                  <pic:spPr bwMode="auto">
                    <a:xfrm>
                      <a:off x="0" y="0"/>
                      <a:ext cx="6099471" cy="3087386"/>
                    </a:xfrm>
                    <a:prstGeom prst="rect">
                      <a:avLst/>
                    </a:prstGeom>
                    <a:ln>
                      <a:noFill/>
                    </a:ln>
                    <a:extLst>
                      <a:ext uri="{53640926-AAD7-44D8-BBD7-CCE9431645EC}">
                        <a14:shadowObscured xmlns:a14="http://schemas.microsoft.com/office/drawing/2010/main"/>
                      </a:ext>
                    </a:extLst>
                  </pic:spPr>
                </pic:pic>
              </a:graphicData>
            </a:graphic>
          </wp:inline>
        </w:drawing>
      </w:r>
    </w:p>
    <w:p w14:paraId="21F5E934" w14:textId="77777777" w:rsidR="000835D9" w:rsidRDefault="00384AFE" w:rsidP="000835D9">
      <w:pPr>
        <w:pStyle w:val="Bulletlist"/>
        <w:numPr>
          <w:ilvl w:val="0"/>
          <w:numId w:val="0"/>
        </w:numPr>
      </w:pPr>
      <w:r>
        <w:rPr>
          <w:noProof/>
          <w:lang w:eastAsia="en-AU"/>
        </w:rPr>
        <mc:AlternateContent>
          <mc:Choice Requires="wps">
            <w:drawing>
              <wp:inline distT="0" distB="0" distL="0" distR="0" wp14:anchorId="3C7FA43A" wp14:editId="12889400">
                <wp:extent cx="5892800" cy="800100"/>
                <wp:effectExtent l="0" t="0" r="0" b="0"/>
                <wp:docPr id="1" name="Text Box 1"/>
                <wp:cNvGraphicFramePr/>
                <a:graphic xmlns:a="http://schemas.openxmlformats.org/drawingml/2006/main">
                  <a:graphicData uri="http://schemas.microsoft.com/office/word/2010/wordprocessingShape">
                    <wps:wsp>
                      <wps:cNvSpPr txBox="1"/>
                      <wps:spPr>
                        <a:xfrm>
                          <a:off x="0" y="0"/>
                          <a:ext cx="5892800" cy="800100"/>
                        </a:xfrm>
                        <a:prstGeom prst="rect">
                          <a:avLst/>
                        </a:prstGeom>
                        <a:solidFill>
                          <a:prstClr val="white"/>
                        </a:solidFill>
                        <a:ln>
                          <a:noFill/>
                        </a:ln>
                      </wps:spPr>
                      <wps:txbx>
                        <w:txbxContent>
                          <w:p w14:paraId="092F6ADD" w14:textId="74AC9CB4" w:rsidR="00384AFE" w:rsidRDefault="00384AFE" w:rsidP="000835D9">
                            <w:pPr>
                              <w:pStyle w:val="TableFigureChartTitle"/>
                            </w:pPr>
                            <w:bookmarkStart w:id="4" w:name="_Ref131592588"/>
                            <w:bookmarkStart w:id="5" w:name="_Toc147910418"/>
                            <w:r>
                              <w:t xml:space="preserve">Figure </w:t>
                            </w:r>
                            <w:r w:rsidR="004D727B">
                              <w:fldChar w:fldCharType="begin"/>
                            </w:r>
                            <w:r w:rsidR="004D727B">
                              <w:instrText xml:space="preserve"> SEQ Figure \* ARABIC </w:instrText>
                            </w:r>
                            <w:r w:rsidR="004D727B">
                              <w:fldChar w:fldCharType="separate"/>
                            </w:r>
                            <w:r w:rsidR="007A3383">
                              <w:rPr>
                                <w:noProof/>
                              </w:rPr>
                              <w:t>2</w:t>
                            </w:r>
                            <w:r w:rsidR="004D727B">
                              <w:rPr>
                                <w:noProof/>
                              </w:rPr>
                              <w:fldChar w:fldCharType="end"/>
                            </w:r>
                            <w:bookmarkEnd w:id="4"/>
                            <w:r>
                              <w:t>: Suggested services for all women and children victim-survivors, and additional services required for CALD and First Nations women and children (</w:t>
                            </w:r>
                            <w:r w:rsidRPr="009B38B9">
                              <w:rPr>
                                <w:b/>
                                <w:bCs/>
                              </w:rPr>
                              <w:t>bolded</w:t>
                            </w:r>
                            <w:r>
                              <w:t xml:space="preserve"> services are most critical, immediately upon entry)</w:t>
                            </w:r>
                            <w:bookmarkEnd w:id="5"/>
                          </w:p>
                          <w:p w14:paraId="747D32D6" w14:textId="77777777" w:rsidR="000835D9" w:rsidRDefault="000835D9" w:rsidP="000835D9">
                            <w:pPr>
                              <w:pStyle w:val="TableFigureChartTitle"/>
                            </w:pPr>
                          </w:p>
                          <w:p w14:paraId="685FE68F" w14:textId="77777777" w:rsidR="002C6AAA" w:rsidRDefault="002C6AAA" w:rsidP="000835D9">
                            <w:pPr>
                              <w:pStyle w:val="TableFigureChartTitle"/>
                            </w:pPr>
                          </w:p>
                          <w:p w14:paraId="780AE7EA" w14:textId="77777777" w:rsidR="002C6AAA" w:rsidRPr="00251BC2" w:rsidRDefault="002C6AAA" w:rsidP="000835D9">
                            <w:pPr>
                              <w:pStyle w:val="TableFigureChart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7FA43A" id="_x0000_t202" coordsize="21600,21600" o:spt="202" path="m,l,21600r21600,l21600,xe">
                <v:stroke joinstyle="miter"/>
                <v:path gradientshapeok="t" o:connecttype="rect"/>
              </v:shapetype>
              <v:shape id="Text Box 1" o:spid="_x0000_s1026" type="#_x0000_t202" style="width:464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2DFQIAADsEAAAOAAAAZHJzL2Uyb0RvYy54bWysU01v2zAMvQ/YfxB0X5wE2JAZcYosRYYB&#10;QVsgLXpWZCkWIIsapcTOfv0ofyRbt9Owi/xMUo/iI7m8a2vLzgqDAVfw2WTKmXISSuOOBX953n5Y&#10;cBaicKWw4FTBLyrwu9X7d8vG52oOFdhSISMSF/LGF7yK0edZFmSlahEm4JUjpwasRaRfPGYliobY&#10;a5vNp9NPWQNYegSpQiDrfe/kq45fayXjo9ZBRWYLTm+L3YndeUhntlqK/IjCV0YOzxD/8IpaGEdJ&#10;r1T3Igp2QvMHVW0kQgAdJxLqDLQ2UnU1UDWz6Ztq9pXwqquFxAn+KlP4f7Ty4bz3T8hi+wVaamAS&#10;pPEhD2RM9bQa6/SllzLyk4SXq2yqjUyS8ePi83wxJZckH4EZYaLJbrc9hvhVQc0SKDhSWzq1xHkX&#10;Yh86hqRkAawpt8ba9JMcG4vsLKiFTWWiGsh/i7IuxTpIt3rCZMlupSQU20M71HeA8kJlI/QTEbzc&#10;Gkq0EyE+CaQRoHJorOMjHdpCU3AYEGcV4I+/2VM8dYa8nDU0UgUP308CFWf2m6OepfkbAY7gMAJ3&#10;qjdAJc5oYbzsIF3AaEeoEepXmvZ1ykIu4STlKngc4Sb2g03bItV63QXRlHkRd27vZaIeBX1uXwX6&#10;oR2RGvkA47CJ/E1X+the3vUpgjZdy5KgvYqDzjShXdOHbUor8Ot/F3Xb+dVPAAAA//8DAFBLAwQU&#10;AAYACAAAACEA2duKcdoAAAAFAQAADwAAAGRycy9kb3ducmV2LnhtbEyPsU7DQBBEeyT+4bRINIic&#10;cWEF43MECXRQJESpN77FtvDtWb5z7Pw9Cw1pVhrNaPZNsZpdp040hNazgYdFAoq48rbl2sD+8+1+&#10;CSpEZIudZzJwpgCr8vqqwNz6ibd02sVaSQmHHA00Mfa51qFqyGFY+J5YvC8/OIwih1rbAScpd51O&#10;kyTTDluWDw32tG6o+t6NzkC2GcZpy+u7zf71HT/6Oj28nA/G3N7Mz0+gIs3xPwy/+IIOpTAd/cg2&#10;qM6ADIl/V7zHdCnyKKE0S0CXhb6kL38AAAD//wMAUEsBAi0AFAAGAAgAAAAhALaDOJL+AAAA4QEA&#10;ABMAAAAAAAAAAAAAAAAAAAAAAFtDb250ZW50X1R5cGVzXS54bWxQSwECLQAUAAYACAAAACEAOP0h&#10;/9YAAACUAQAACwAAAAAAAAAAAAAAAAAvAQAAX3JlbHMvLnJlbHNQSwECLQAUAAYACAAAACEA0TCd&#10;gxUCAAA7BAAADgAAAAAAAAAAAAAAAAAuAgAAZHJzL2Uyb0RvYy54bWxQSwECLQAUAAYACAAAACEA&#10;2duKcdoAAAAFAQAADwAAAAAAAAAAAAAAAABvBAAAZHJzL2Rvd25yZXYueG1sUEsFBgAAAAAEAAQA&#10;8wAAAHYFAAAAAA==&#10;" stroked="f">
                <v:textbox inset="0,0,0,0">
                  <w:txbxContent>
                    <w:p w14:paraId="092F6ADD" w14:textId="74AC9CB4" w:rsidR="00384AFE" w:rsidRDefault="00384AFE" w:rsidP="000835D9">
                      <w:pPr>
                        <w:pStyle w:val="TableFigureChartTitle"/>
                      </w:pPr>
                      <w:bookmarkStart w:id="5" w:name="_Ref131592588"/>
                      <w:bookmarkStart w:id="6" w:name="_Toc147910418"/>
                      <w:r>
                        <w:t xml:space="preserve">Figure </w:t>
                      </w:r>
                      <w:fldSimple w:instr=" SEQ Figure \* ARABIC ">
                        <w:r w:rsidR="007A3383">
                          <w:rPr>
                            <w:noProof/>
                          </w:rPr>
                          <w:t>2</w:t>
                        </w:r>
                      </w:fldSimple>
                      <w:bookmarkEnd w:id="5"/>
                      <w:r>
                        <w:t>: Suggested services for all women and children victim-survivors, and additional services required for CALD and First Nations women and children (</w:t>
                      </w:r>
                      <w:r w:rsidRPr="009B38B9">
                        <w:rPr>
                          <w:b/>
                          <w:bCs/>
                        </w:rPr>
                        <w:t>bolded</w:t>
                      </w:r>
                      <w:r>
                        <w:t xml:space="preserve"> services are most critical, immediately upon entry)</w:t>
                      </w:r>
                      <w:bookmarkEnd w:id="6"/>
                    </w:p>
                    <w:p w14:paraId="747D32D6" w14:textId="77777777" w:rsidR="000835D9" w:rsidRDefault="000835D9" w:rsidP="000835D9">
                      <w:pPr>
                        <w:pStyle w:val="TableFigureChartTitle"/>
                      </w:pPr>
                    </w:p>
                    <w:p w14:paraId="685FE68F" w14:textId="77777777" w:rsidR="002C6AAA" w:rsidRDefault="002C6AAA" w:rsidP="000835D9">
                      <w:pPr>
                        <w:pStyle w:val="TableFigureChartTitle"/>
                      </w:pPr>
                    </w:p>
                    <w:p w14:paraId="780AE7EA" w14:textId="77777777" w:rsidR="002C6AAA" w:rsidRPr="00251BC2" w:rsidRDefault="002C6AAA" w:rsidP="000835D9">
                      <w:pPr>
                        <w:pStyle w:val="TableFigureChartTitle"/>
                      </w:pPr>
                    </w:p>
                  </w:txbxContent>
                </v:textbox>
                <w10:anchorlock/>
              </v:shape>
            </w:pict>
          </mc:Fallback>
        </mc:AlternateContent>
      </w:r>
    </w:p>
    <w:p w14:paraId="0C43ACCE" w14:textId="7B3456E1" w:rsidR="00CB06E7" w:rsidRDefault="006E236F" w:rsidP="00CB06E7">
      <w:pPr>
        <w:pStyle w:val="Bulletlist"/>
      </w:pPr>
      <w:r w:rsidRPr="006E236F">
        <w:lastRenderedPageBreak/>
        <w:t>Stakeholders emphasi</w:t>
      </w:r>
      <w:r>
        <w:t xml:space="preserve">sed </w:t>
      </w:r>
      <w:r w:rsidRPr="003D1413">
        <w:rPr>
          <w:b/>
          <w:bCs/>
        </w:rPr>
        <w:t>most importantly the need for all women and children</w:t>
      </w:r>
      <w:r w:rsidR="000C22B6">
        <w:rPr>
          <w:b/>
          <w:bCs/>
        </w:rPr>
        <w:t xml:space="preserve"> victim-survivors</w:t>
      </w:r>
      <w:r w:rsidRPr="003D1413">
        <w:rPr>
          <w:b/>
          <w:bCs/>
        </w:rPr>
        <w:t xml:space="preserve"> in emergency accommodation to have access to an individual case manager or support worker, as well as </w:t>
      </w:r>
      <w:r w:rsidR="003D1413" w:rsidRPr="003D1413">
        <w:rPr>
          <w:b/>
          <w:bCs/>
        </w:rPr>
        <w:t>mental health</w:t>
      </w:r>
      <w:r w:rsidRPr="003D1413">
        <w:rPr>
          <w:b/>
          <w:bCs/>
        </w:rPr>
        <w:t xml:space="preserve"> support</w:t>
      </w:r>
      <w:r w:rsidR="00954529">
        <w:t xml:space="preserve">, alongside other supports and services (illustrated in </w:t>
      </w:r>
      <w:r w:rsidR="003D1413">
        <w:fldChar w:fldCharType="begin"/>
      </w:r>
      <w:r w:rsidR="003D1413">
        <w:instrText xml:space="preserve"> REF _Ref131592588 \h </w:instrText>
      </w:r>
      <w:r w:rsidR="003D1413">
        <w:fldChar w:fldCharType="separate"/>
      </w:r>
      <w:r w:rsidR="007A3383">
        <w:t xml:space="preserve">Figure </w:t>
      </w:r>
      <w:r w:rsidR="007A3383">
        <w:rPr>
          <w:noProof/>
        </w:rPr>
        <w:t>2</w:t>
      </w:r>
      <w:r w:rsidR="003D1413">
        <w:fldChar w:fldCharType="end"/>
      </w:r>
      <w:r w:rsidR="003D1413">
        <w:t xml:space="preserve"> </w:t>
      </w:r>
      <w:r w:rsidR="00954529">
        <w:t>below).</w:t>
      </w:r>
    </w:p>
    <w:p w14:paraId="4830E557" w14:textId="1DB58FB0" w:rsidR="00924ABE" w:rsidRDefault="00CB06E7" w:rsidP="00384AFE">
      <w:pPr>
        <w:pStyle w:val="Bulletlist"/>
      </w:pPr>
      <w:r w:rsidRPr="008F56BE">
        <w:t>The ne</w:t>
      </w:r>
      <w:r w:rsidRPr="006E236F">
        <w:t xml:space="preserve">ed for </w:t>
      </w:r>
      <w:r w:rsidRPr="00BE3886">
        <w:rPr>
          <w:b/>
          <w:bCs/>
        </w:rPr>
        <w:t>language support through translated materials and interpreters, and legal and migration support</w:t>
      </w:r>
      <w:r w:rsidRPr="006E236F">
        <w:t xml:space="preserve"> was identified as crucial for women and children from CALD backgrounds</w:t>
      </w:r>
      <w:r>
        <w:t xml:space="preserve">, </w:t>
      </w:r>
      <w:r w:rsidR="00207FBA">
        <w:t>with</w:t>
      </w:r>
      <w:r w:rsidRPr="006E236F">
        <w:t xml:space="preserve"> </w:t>
      </w:r>
      <w:r w:rsidRPr="00BE3886">
        <w:rPr>
          <w:b/>
          <w:bCs/>
        </w:rPr>
        <w:t>culturally safe delivery of all services</w:t>
      </w:r>
      <w:r>
        <w:t>. L</w:t>
      </w:r>
      <w:r w:rsidRPr="006E236F">
        <w:t xml:space="preserve">anguage support was </w:t>
      </w:r>
      <w:r w:rsidR="00F87995">
        <w:t>also suggested</w:t>
      </w:r>
      <w:r w:rsidRPr="006E236F">
        <w:t xml:space="preserve"> for</w:t>
      </w:r>
      <w:r w:rsidR="00F87995">
        <w:t xml:space="preserve"> some</w:t>
      </w:r>
      <w:r w:rsidRPr="006E236F">
        <w:t xml:space="preserve"> First Nations women and children, particularly in remote areas</w:t>
      </w:r>
      <w:r w:rsidR="00F87995">
        <w:t>.</w:t>
      </w:r>
    </w:p>
    <w:p w14:paraId="16DB14F9" w14:textId="27DDA12C" w:rsidR="00C63356" w:rsidRDefault="000E6BCE" w:rsidP="006E236F">
      <w:pPr>
        <w:pStyle w:val="BodyHeadingBlue"/>
      </w:pPr>
      <w:r>
        <w:t>Grant application inclusion criteria</w:t>
      </w:r>
    </w:p>
    <w:p w14:paraId="6DC04A2E" w14:textId="3E3F5709" w:rsidR="008B4E77" w:rsidRPr="008B4E77" w:rsidRDefault="008B4E77" w:rsidP="008B4E77">
      <w:pPr>
        <w:pStyle w:val="Bulletlist"/>
      </w:pPr>
      <w:r w:rsidRPr="008B4E77">
        <w:t>Focus</w:t>
      </w:r>
      <w:r w:rsidRPr="000E6BCE">
        <w:t xml:space="preserve"> group participants were asked how grant applicants can demonstra</w:t>
      </w:r>
      <w:r w:rsidRPr="00D1459C">
        <w:t>te their ability t</w:t>
      </w:r>
      <w:r w:rsidRPr="000E6BCE">
        <w:t xml:space="preserve">o meet the needs of women and children </w:t>
      </w:r>
      <w:r w:rsidR="00AA5BFB">
        <w:t xml:space="preserve">victim-survivors </w:t>
      </w:r>
      <w:r w:rsidRPr="000E6BCE">
        <w:t>from First Nations, CALD and disability backgrounds,</w:t>
      </w:r>
      <w:r>
        <w:t xml:space="preserve"> a</w:t>
      </w:r>
      <w:r w:rsidR="00D1459C">
        <w:t xml:space="preserve">nd </w:t>
      </w:r>
      <w:r>
        <w:t xml:space="preserve">what </w:t>
      </w:r>
      <w:r w:rsidR="00D1459C">
        <w:t xml:space="preserve">elements </w:t>
      </w:r>
      <w:r>
        <w:t xml:space="preserve">may be a red flag in applications. These are summarised in </w:t>
      </w:r>
      <w:r>
        <w:fldChar w:fldCharType="begin"/>
      </w:r>
      <w:r>
        <w:instrText xml:space="preserve"> REF _Ref131593279 \h </w:instrText>
      </w:r>
      <w:r>
        <w:fldChar w:fldCharType="separate"/>
      </w:r>
      <w:r w:rsidR="007A3383">
        <w:t xml:space="preserve">Table </w:t>
      </w:r>
      <w:r w:rsidR="007A3383">
        <w:rPr>
          <w:noProof/>
        </w:rPr>
        <w:t>1</w:t>
      </w:r>
      <w:r>
        <w:fldChar w:fldCharType="end"/>
      </w:r>
      <w:r>
        <w:t xml:space="preserve"> below. </w:t>
      </w:r>
    </w:p>
    <w:p w14:paraId="04EAA99F" w14:textId="24DA8B02" w:rsidR="008B4E77" w:rsidRDefault="008B4E77" w:rsidP="000835D9">
      <w:pPr>
        <w:pStyle w:val="TableFigureChartTitle"/>
      </w:pPr>
      <w:bookmarkStart w:id="6" w:name="_Ref131593279"/>
      <w:bookmarkStart w:id="7" w:name="_Toc147910419"/>
      <w:r>
        <w:t xml:space="preserve">Table </w:t>
      </w:r>
      <w:r w:rsidR="004D727B">
        <w:fldChar w:fldCharType="begin"/>
      </w:r>
      <w:r w:rsidR="004D727B">
        <w:instrText xml:space="preserve"> SEQ Table \* ARABIC </w:instrText>
      </w:r>
      <w:r w:rsidR="004D727B">
        <w:fldChar w:fldCharType="separate"/>
      </w:r>
      <w:r w:rsidR="00F37F7B">
        <w:rPr>
          <w:noProof/>
        </w:rPr>
        <w:t>1</w:t>
      </w:r>
      <w:r w:rsidR="004D727B">
        <w:rPr>
          <w:noProof/>
        </w:rPr>
        <w:fldChar w:fldCharType="end"/>
      </w:r>
      <w:bookmarkEnd w:id="6"/>
      <w:r>
        <w:t>: Recommended application requirements and red flags</w:t>
      </w:r>
      <w:bookmarkEnd w:id="7"/>
    </w:p>
    <w:tbl>
      <w:tblPr>
        <w:tblStyle w:val="PeakboundTable"/>
        <w:tblW w:w="9356" w:type="dxa"/>
        <w:tblLook w:val="04A0" w:firstRow="1" w:lastRow="0" w:firstColumn="1" w:lastColumn="0" w:noHBand="0" w:noVBand="1"/>
        <w:tblCaption w:val="Table 1: Recommended application requirements and red flags"/>
        <w:tblDescription w:val="Table showing applicant priorities/requirements and applicant red flags."/>
      </w:tblPr>
      <w:tblGrid>
        <w:gridCol w:w="4748"/>
        <w:gridCol w:w="4608"/>
      </w:tblGrid>
      <w:tr w:rsidR="008B4E77" w14:paraId="3B796EE4" w14:textId="77777777" w:rsidTr="008B4E77">
        <w:trPr>
          <w:cnfStyle w:val="100000000000" w:firstRow="1" w:lastRow="0" w:firstColumn="0" w:lastColumn="0" w:oddVBand="0" w:evenVBand="0" w:oddHBand="0" w:evenHBand="0" w:firstRowFirstColumn="0" w:firstRowLastColumn="0" w:lastRowFirstColumn="0" w:lastRowLastColumn="0"/>
          <w:trHeight w:val="278"/>
        </w:trPr>
        <w:tc>
          <w:tcPr>
            <w:tcW w:w="4748" w:type="dxa"/>
          </w:tcPr>
          <w:p w14:paraId="3979E33F" w14:textId="77777777" w:rsidR="008B4E77" w:rsidRPr="00FB15C0" w:rsidRDefault="008B4E77" w:rsidP="00AE65D5">
            <w:pPr>
              <w:pStyle w:val="TableHeading"/>
              <w:rPr>
                <w:b/>
                <w:bCs/>
              </w:rPr>
            </w:pPr>
            <w:r>
              <w:rPr>
                <w:b/>
                <w:bCs/>
              </w:rPr>
              <w:t>Applicant priorities/requirements</w:t>
            </w:r>
          </w:p>
        </w:tc>
        <w:tc>
          <w:tcPr>
            <w:tcW w:w="4608" w:type="dxa"/>
          </w:tcPr>
          <w:p w14:paraId="140FC15B" w14:textId="77777777" w:rsidR="008B4E77" w:rsidRDefault="008B4E77" w:rsidP="00AE65D5">
            <w:pPr>
              <w:pStyle w:val="TableHeading"/>
              <w:rPr>
                <w:b/>
                <w:bCs/>
              </w:rPr>
            </w:pPr>
            <w:r>
              <w:rPr>
                <w:b/>
                <w:bCs/>
              </w:rPr>
              <w:t>Applicant red flags</w:t>
            </w:r>
          </w:p>
        </w:tc>
      </w:tr>
      <w:tr w:rsidR="008B4E77" w14:paraId="3B3F18B4" w14:textId="77777777" w:rsidTr="008B4E77">
        <w:trPr>
          <w:cnfStyle w:val="000000100000" w:firstRow="0" w:lastRow="0" w:firstColumn="0" w:lastColumn="0" w:oddVBand="0" w:evenVBand="0" w:oddHBand="1" w:evenHBand="0" w:firstRowFirstColumn="0" w:firstRowLastColumn="0" w:lastRowFirstColumn="0" w:lastRowLastColumn="0"/>
          <w:trHeight w:val="278"/>
        </w:trPr>
        <w:tc>
          <w:tcPr>
            <w:tcW w:w="4748" w:type="dxa"/>
          </w:tcPr>
          <w:p w14:paraId="3C9FE876" w14:textId="77777777" w:rsidR="008B4E77" w:rsidRPr="00CE118A" w:rsidRDefault="008B4E77" w:rsidP="00CE118A">
            <w:pPr>
              <w:pStyle w:val="Tabletext"/>
              <w:rPr>
                <w:sz w:val="20"/>
                <w:szCs w:val="20"/>
              </w:rPr>
            </w:pPr>
            <w:r w:rsidRPr="00CE118A">
              <w:rPr>
                <w:rFonts w:ascii="Segoe UI Symbol" w:hAnsi="Segoe UI Symbol" w:cs="Segoe UI Symbol"/>
                <w:sz w:val="20"/>
                <w:szCs w:val="20"/>
              </w:rPr>
              <w:t>✔</w:t>
            </w:r>
            <w:r w:rsidRPr="00CE118A">
              <w:rPr>
                <w:sz w:val="20"/>
                <w:szCs w:val="20"/>
              </w:rPr>
              <w:t xml:space="preserve"> </w:t>
            </w:r>
            <w:r w:rsidR="004E0E28" w:rsidRPr="00CE118A">
              <w:rPr>
                <w:sz w:val="20"/>
                <w:szCs w:val="20"/>
              </w:rPr>
              <w:t>E</w:t>
            </w:r>
            <w:r w:rsidRPr="00CE118A">
              <w:rPr>
                <w:sz w:val="20"/>
                <w:szCs w:val="20"/>
              </w:rPr>
              <w:t>stablished partnerships with other services</w:t>
            </w:r>
          </w:p>
        </w:tc>
        <w:tc>
          <w:tcPr>
            <w:tcW w:w="4608" w:type="dxa"/>
          </w:tcPr>
          <w:p w14:paraId="5DA5C338" w14:textId="77777777" w:rsidR="008B4E77" w:rsidRPr="00B60D73" w:rsidRDefault="008B4E77" w:rsidP="00D91AC6">
            <w:pPr>
              <w:pStyle w:val="Tabletext"/>
              <w:rPr>
                <w:sz w:val="20"/>
                <w:szCs w:val="20"/>
              </w:rPr>
            </w:pPr>
            <w:r w:rsidRPr="00B60D73">
              <w:rPr>
                <w:rFonts w:ascii="Segoe UI Emoji" w:hAnsi="Segoe UI Emoji" w:cs="Segoe UI Emoji"/>
                <w:sz w:val="20"/>
                <w:szCs w:val="20"/>
              </w:rPr>
              <w:t>❌</w:t>
            </w:r>
            <w:r w:rsidRPr="00B60D73">
              <w:rPr>
                <w:sz w:val="20"/>
                <w:szCs w:val="20"/>
              </w:rPr>
              <w:t xml:space="preserve"> </w:t>
            </w:r>
            <w:r w:rsidR="004E0E28" w:rsidRPr="00B60D73">
              <w:rPr>
                <w:sz w:val="20"/>
                <w:szCs w:val="20"/>
              </w:rPr>
              <w:t>N</w:t>
            </w:r>
            <w:r w:rsidRPr="00B60D73">
              <w:rPr>
                <w:sz w:val="20"/>
                <w:szCs w:val="20"/>
              </w:rPr>
              <w:t>o track record in the sector</w:t>
            </w:r>
          </w:p>
        </w:tc>
      </w:tr>
      <w:tr w:rsidR="008B4E77" w14:paraId="0BB5170D" w14:textId="77777777" w:rsidTr="008B4E77">
        <w:trPr>
          <w:trHeight w:val="293"/>
        </w:trPr>
        <w:tc>
          <w:tcPr>
            <w:tcW w:w="4748" w:type="dxa"/>
          </w:tcPr>
          <w:p w14:paraId="7EA397AA" w14:textId="77777777" w:rsidR="008B4E77" w:rsidRPr="00CE118A" w:rsidRDefault="008B4E77" w:rsidP="00CE118A">
            <w:pPr>
              <w:pStyle w:val="Tabletext"/>
              <w:rPr>
                <w:sz w:val="20"/>
                <w:szCs w:val="20"/>
              </w:rPr>
            </w:pPr>
            <w:r w:rsidRPr="00CE118A">
              <w:rPr>
                <w:rFonts w:ascii="Segoe UI Symbol" w:hAnsi="Segoe UI Symbol" w:cs="Segoe UI Symbol"/>
                <w:sz w:val="20"/>
                <w:szCs w:val="20"/>
              </w:rPr>
              <w:t>✔</w:t>
            </w:r>
            <w:r w:rsidRPr="00CE118A">
              <w:rPr>
                <w:sz w:val="20"/>
                <w:szCs w:val="20"/>
              </w:rPr>
              <w:t xml:space="preserve"> </w:t>
            </w:r>
            <w:r w:rsidR="004E0E28" w:rsidRPr="00CE118A">
              <w:rPr>
                <w:sz w:val="20"/>
                <w:szCs w:val="20"/>
              </w:rPr>
              <w:t>C</w:t>
            </w:r>
            <w:r w:rsidRPr="00CE118A">
              <w:rPr>
                <w:sz w:val="20"/>
                <w:szCs w:val="20"/>
              </w:rPr>
              <w:t>onnections with the community they serve</w:t>
            </w:r>
          </w:p>
        </w:tc>
        <w:tc>
          <w:tcPr>
            <w:tcW w:w="4608" w:type="dxa"/>
          </w:tcPr>
          <w:p w14:paraId="64FE52A3" w14:textId="77777777" w:rsidR="008B4E77" w:rsidRPr="00B60D73" w:rsidRDefault="008B4E77" w:rsidP="00D91AC6">
            <w:pPr>
              <w:pStyle w:val="Tabletext"/>
              <w:rPr>
                <w:sz w:val="20"/>
                <w:szCs w:val="20"/>
              </w:rPr>
            </w:pPr>
            <w:r w:rsidRPr="00B60D73">
              <w:rPr>
                <w:rFonts w:ascii="Segoe UI Emoji" w:hAnsi="Segoe UI Emoji" w:cs="Segoe UI Emoji"/>
                <w:sz w:val="20"/>
                <w:szCs w:val="20"/>
              </w:rPr>
              <w:t>❌</w:t>
            </w:r>
            <w:r w:rsidRPr="00B60D73">
              <w:rPr>
                <w:sz w:val="20"/>
                <w:szCs w:val="20"/>
              </w:rPr>
              <w:t xml:space="preserve"> </w:t>
            </w:r>
            <w:r w:rsidR="004E0E28" w:rsidRPr="00B60D73">
              <w:rPr>
                <w:sz w:val="20"/>
                <w:szCs w:val="20"/>
              </w:rPr>
              <w:t>P</w:t>
            </w:r>
            <w:r w:rsidRPr="00B60D73">
              <w:rPr>
                <w:sz w:val="20"/>
                <w:szCs w:val="20"/>
              </w:rPr>
              <w:t>oor building records</w:t>
            </w:r>
          </w:p>
        </w:tc>
      </w:tr>
      <w:tr w:rsidR="008B4E77" w14:paraId="446C9118" w14:textId="77777777" w:rsidTr="008B4E77">
        <w:trPr>
          <w:cnfStyle w:val="000000100000" w:firstRow="0" w:lastRow="0" w:firstColumn="0" w:lastColumn="0" w:oddVBand="0" w:evenVBand="0" w:oddHBand="1" w:evenHBand="0" w:firstRowFirstColumn="0" w:firstRowLastColumn="0" w:lastRowFirstColumn="0" w:lastRowLastColumn="0"/>
          <w:trHeight w:val="278"/>
        </w:trPr>
        <w:tc>
          <w:tcPr>
            <w:tcW w:w="4748" w:type="dxa"/>
          </w:tcPr>
          <w:p w14:paraId="3D420D6A" w14:textId="77777777" w:rsidR="008B4E77" w:rsidRPr="00CE118A" w:rsidRDefault="008B4E77" w:rsidP="00CE118A">
            <w:pPr>
              <w:pStyle w:val="Tabletext"/>
              <w:rPr>
                <w:sz w:val="20"/>
                <w:szCs w:val="20"/>
              </w:rPr>
            </w:pPr>
            <w:r w:rsidRPr="00CE118A">
              <w:rPr>
                <w:rFonts w:ascii="Segoe UI Symbol" w:hAnsi="Segoe UI Symbol" w:cs="Segoe UI Symbol"/>
                <w:sz w:val="20"/>
                <w:szCs w:val="20"/>
              </w:rPr>
              <w:t>✔</w:t>
            </w:r>
            <w:r w:rsidRPr="00CE118A">
              <w:rPr>
                <w:sz w:val="20"/>
                <w:szCs w:val="20"/>
              </w:rPr>
              <w:t xml:space="preserve"> </w:t>
            </w:r>
            <w:r w:rsidR="004E0E28" w:rsidRPr="00CE118A">
              <w:rPr>
                <w:sz w:val="20"/>
                <w:szCs w:val="20"/>
              </w:rPr>
              <w:t>P</w:t>
            </w:r>
            <w:r w:rsidRPr="00CE118A">
              <w:rPr>
                <w:sz w:val="20"/>
                <w:szCs w:val="20"/>
              </w:rPr>
              <w:t>lan to consult with those with lived experience</w:t>
            </w:r>
          </w:p>
        </w:tc>
        <w:tc>
          <w:tcPr>
            <w:tcW w:w="4608" w:type="dxa"/>
          </w:tcPr>
          <w:p w14:paraId="2A095E1F" w14:textId="77777777" w:rsidR="008B4E77" w:rsidRPr="00B60D73" w:rsidRDefault="008B4E77" w:rsidP="00D91AC6">
            <w:pPr>
              <w:pStyle w:val="Tabletext"/>
              <w:rPr>
                <w:sz w:val="20"/>
                <w:szCs w:val="20"/>
              </w:rPr>
            </w:pPr>
            <w:r w:rsidRPr="00B60D73">
              <w:rPr>
                <w:rFonts w:ascii="Segoe UI Emoji" w:hAnsi="Segoe UI Emoji" w:cs="Segoe UI Emoji"/>
                <w:sz w:val="20"/>
                <w:szCs w:val="20"/>
              </w:rPr>
              <w:t>❌</w:t>
            </w:r>
            <w:r w:rsidRPr="00B60D73">
              <w:rPr>
                <w:sz w:val="20"/>
                <w:szCs w:val="20"/>
              </w:rPr>
              <w:t xml:space="preserve"> </w:t>
            </w:r>
            <w:r w:rsidR="004E0E28" w:rsidRPr="00B60D73">
              <w:rPr>
                <w:sz w:val="20"/>
                <w:szCs w:val="20"/>
              </w:rPr>
              <w:t>La</w:t>
            </w:r>
            <w:r w:rsidRPr="00B60D73">
              <w:rPr>
                <w:sz w:val="20"/>
                <w:szCs w:val="20"/>
              </w:rPr>
              <w:t xml:space="preserve">ck of meaningful </w:t>
            </w:r>
            <w:r w:rsidR="00AA5BFB" w:rsidRPr="00B60D73">
              <w:rPr>
                <w:sz w:val="20"/>
                <w:szCs w:val="20"/>
              </w:rPr>
              <w:t xml:space="preserve">links to </w:t>
            </w:r>
            <w:r w:rsidR="00B058FD" w:rsidRPr="00B60D73">
              <w:rPr>
                <w:sz w:val="20"/>
                <w:szCs w:val="20"/>
              </w:rPr>
              <w:t>the communities they serve</w:t>
            </w:r>
            <w:r w:rsidR="00AA5BFB" w:rsidRPr="00B60D73">
              <w:rPr>
                <w:sz w:val="20"/>
                <w:szCs w:val="20"/>
              </w:rPr>
              <w:t xml:space="preserve"> </w:t>
            </w:r>
            <w:r w:rsidRPr="00B60D73">
              <w:rPr>
                <w:sz w:val="20"/>
                <w:szCs w:val="20"/>
              </w:rPr>
              <w:t>or partnerships</w:t>
            </w:r>
            <w:r w:rsidR="00B058FD" w:rsidRPr="00B60D73">
              <w:rPr>
                <w:sz w:val="20"/>
                <w:szCs w:val="20"/>
              </w:rPr>
              <w:t xml:space="preserve"> with other community organisations </w:t>
            </w:r>
          </w:p>
        </w:tc>
      </w:tr>
      <w:tr w:rsidR="008B4E77" w14:paraId="691F1EF8" w14:textId="77777777" w:rsidTr="008B4E77">
        <w:trPr>
          <w:trHeight w:val="278"/>
        </w:trPr>
        <w:tc>
          <w:tcPr>
            <w:tcW w:w="4748" w:type="dxa"/>
          </w:tcPr>
          <w:p w14:paraId="14072AA6" w14:textId="77777777" w:rsidR="008B4E77" w:rsidRPr="00CE118A" w:rsidRDefault="008B4E77" w:rsidP="00CE118A">
            <w:pPr>
              <w:pStyle w:val="Tabletext"/>
              <w:rPr>
                <w:sz w:val="20"/>
                <w:szCs w:val="20"/>
              </w:rPr>
            </w:pPr>
            <w:r w:rsidRPr="00CE118A">
              <w:rPr>
                <w:rFonts w:ascii="Segoe UI Symbol" w:hAnsi="Segoe UI Symbol" w:cs="Segoe UI Symbol"/>
                <w:sz w:val="20"/>
                <w:szCs w:val="20"/>
              </w:rPr>
              <w:t>✔</w:t>
            </w:r>
            <w:r w:rsidRPr="00CE118A">
              <w:rPr>
                <w:sz w:val="20"/>
                <w:szCs w:val="20"/>
              </w:rPr>
              <w:t xml:space="preserve"> </w:t>
            </w:r>
            <w:r w:rsidR="004E0E28" w:rsidRPr="00CE118A">
              <w:rPr>
                <w:sz w:val="20"/>
                <w:szCs w:val="20"/>
              </w:rPr>
              <w:t>D</w:t>
            </w:r>
            <w:r w:rsidRPr="00CE118A">
              <w:rPr>
                <w:sz w:val="20"/>
                <w:szCs w:val="20"/>
              </w:rPr>
              <w:t>emonstrate staff training</w:t>
            </w:r>
          </w:p>
        </w:tc>
        <w:tc>
          <w:tcPr>
            <w:tcW w:w="4608" w:type="dxa"/>
          </w:tcPr>
          <w:p w14:paraId="71FBEF7A" w14:textId="77777777" w:rsidR="008B4E77" w:rsidRPr="00B60D73" w:rsidRDefault="008B4E77" w:rsidP="00D91AC6">
            <w:pPr>
              <w:pStyle w:val="Tabletext"/>
              <w:rPr>
                <w:sz w:val="20"/>
                <w:szCs w:val="20"/>
              </w:rPr>
            </w:pPr>
            <w:r w:rsidRPr="00B60D73">
              <w:rPr>
                <w:rFonts w:ascii="Segoe UI Emoji" w:hAnsi="Segoe UI Emoji" w:cs="Segoe UI Emoji"/>
                <w:sz w:val="20"/>
                <w:szCs w:val="20"/>
              </w:rPr>
              <w:t>❌</w:t>
            </w:r>
            <w:r w:rsidRPr="00B60D73">
              <w:rPr>
                <w:sz w:val="20"/>
                <w:szCs w:val="20"/>
              </w:rPr>
              <w:t xml:space="preserve"> </w:t>
            </w:r>
            <w:r w:rsidR="004E0E28" w:rsidRPr="00B60D73">
              <w:rPr>
                <w:sz w:val="20"/>
                <w:szCs w:val="20"/>
              </w:rPr>
              <w:t>M</w:t>
            </w:r>
            <w:r w:rsidRPr="00B60D73">
              <w:rPr>
                <w:sz w:val="20"/>
                <w:szCs w:val="20"/>
              </w:rPr>
              <w:t>ainstream organisations providing all services</w:t>
            </w:r>
          </w:p>
        </w:tc>
      </w:tr>
      <w:tr w:rsidR="008B4E77" w14:paraId="2EB84870" w14:textId="77777777" w:rsidTr="008B4E77">
        <w:trPr>
          <w:cnfStyle w:val="000000100000" w:firstRow="0" w:lastRow="0" w:firstColumn="0" w:lastColumn="0" w:oddVBand="0" w:evenVBand="0" w:oddHBand="1" w:evenHBand="0" w:firstRowFirstColumn="0" w:firstRowLastColumn="0" w:lastRowFirstColumn="0" w:lastRowLastColumn="0"/>
          <w:trHeight w:val="293"/>
        </w:trPr>
        <w:tc>
          <w:tcPr>
            <w:tcW w:w="4748" w:type="dxa"/>
          </w:tcPr>
          <w:p w14:paraId="69F3EF7A" w14:textId="6BFCF618" w:rsidR="008B4E77" w:rsidRPr="00CE118A" w:rsidRDefault="008B4E77" w:rsidP="00CE118A">
            <w:pPr>
              <w:pStyle w:val="Tabletext"/>
              <w:rPr>
                <w:sz w:val="20"/>
                <w:szCs w:val="20"/>
              </w:rPr>
            </w:pPr>
            <w:r w:rsidRPr="00CE118A">
              <w:rPr>
                <w:rFonts w:ascii="Segoe UI Symbol" w:hAnsi="Segoe UI Symbol" w:cs="Segoe UI Symbol"/>
                <w:sz w:val="20"/>
                <w:szCs w:val="20"/>
              </w:rPr>
              <w:t>✔</w:t>
            </w:r>
            <w:r w:rsidRPr="00CE118A">
              <w:rPr>
                <w:sz w:val="20"/>
                <w:szCs w:val="20"/>
              </w:rPr>
              <w:t xml:space="preserve"> </w:t>
            </w:r>
            <w:r w:rsidR="004E0E28" w:rsidRPr="00CE118A">
              <w:rPr>
                <w:sz w:val="20"/>
                <w:szCs w:val="20"/>
              </w:rPr>
              <w:t>D</w:t>
            </w:r>
            <w:r w:rsidRPr="00CE118A">
              <w:rPr>
                <w:sz w:val="20"/>
                <w:szCs w:val="20"/>
              </w:rPr>
              <w:t>emonstrate relevant organi</w:t>
            </w:r>
            <w:r w:rsidR="009351CE" w:rsidRPr="00CE118A">
              <w:rPr>
                <w:sz w:val="20"/>
                <w:szCs w:val="20"/>
              </w:rPr>
              <w:t>s</w:t>
            </w:r>
            <w:r w:rsidRPr="00CE118A">
              <w:rPr>
                <w:sz w:val="20"/>
                <w:szCs w:val="20"/>
              </w:rPr>
              <w:t>ational audits</w:t>
            </w:r>
          </w:p>
        </w:tc>
        <w:tc>
          <w:tcPr>
            <w:tcW w:w="4608" w:type="dxa"/>
          </w:tcPr>
          <w:p w14:paraId="4E36FDED" w14:textId="77777777" w:rsidR="008B4E77" w:rsidRPr="008B4E77" w:rsidRDefault="008B4E77" w:rsidP="00D91AC6">
            <w:pPr>
              <w:pStyle w:val="Tabletext"/>
            </w:pPr>
          </w:p>
        </w:tc>
      </w:tr>
      <w:tr w:rsidR="008B4E77" w14:paraId="30F8626B" w14:textId="77777777" w:rsidTr="008B4E77">
        <w:trPr>
          <w:trHeight w:val="293"/>
        </w:trPr>
        <w:tc>
          <w:tcPr>
            <w:tcW w:w="4748" w:type="dxa"/>
          </w:tcPr>
          <w:p w14:paraId="6EBFB445" w14:textId="77777777" w:rsidR="008B4E77" w:rsidRPr="00CE118A" w:rsidRDefault="008B4E77" w:rsidP="00CE118A">
            <w:pPr>
              <w:pStyle w:val="Tabletext"/>
              <w:rPr>
                <w:sz w:val="20"/>
                <w:szCs w:val="20"/>
              </w:rPr>
            </w:pPr>
            <w:r w:rsidRPr="00CE118A">
              <w:rPr>
                <w:rFonts w:ascii="Segoe UI Symbol" w:hAnsi="Segoe UI Symbol" w:cs="Segoe UI Symbol"/>
                <w:sz w:val="20"/>
                <w:szCs w:val="20"/>
              </w:rPr>
              <w:t>✔</w:t>
            </w:r>
            <w:r w:rsidR="004E0E28" w:rsidRPr="00CE118A">
              <w:rPr>
                <w:sz w:val="20"/>
                <w:szCs w:val="20"/>
              </w:rPr>
              <w:t xml:space="preserve"> P</w:t>
            </w:r>
            <w:r w:rsidRPr="00CE118A">
              <w:rPr>
                <w:sz w:val="20"/>
                <w:szCs w:val="20"/>
              </w:rPr>
              <w:t>resent positive client referrals</w:t>
            </w:r>
          </w:p>
        </w:tc>
        <w:tc>
          <w:tcPr>
            <w:tcW w:w="4608" w:type="dxa"/>
          </w:tcPr>
          <w:p w14:paraId="4B73B520" w14:textId="77777777" w:rsidR="008B4E77" w:rsidRPr="008B4E77" w:rsidRDefault="008B4E77" w:rsidP="00D91AC6">
            <w:pPr>
              <w:pStyle w:val="Tabletext"/>
            </w:pPr>
          </w:p>
        </w:tc>
      </w:tr>
      <w:tr w:rsidR="008B4E77" w14:paraId="311048FA" w14:textId="77777777" w:rsidTr="008B4E77">
        <w:trPr>
          <w:cnfStyle w:val="000000100000" w:firstRow="0" w:lastRow="0" w:firstColumn="0" w:lastColumn="0" w:oddVBand="0" w:evenVBand="0" w:oddHBand="1" w:evenHBand="0" w:firstRowFirstColumn="0" w:firstRowLastColumn="0" w:lastRowFirstColumn="0" w:lastRowLastColumn="0"/>
          <w:trHeight w:val="293"/>
        </w:trPr>
        <w:tc>
          <w:tcPr>
            <w:tcW w:w="4748" w:type="dxa"/>
          </w:tcPr>
          <w:p w14:paraId="43E47BE3" w14:textId="77777777" w:rsidR="008B4E77" w:rsidRPr="00CE118A" w:rsidRDefault="008B4E77" w:rsidP="00CE118A">
            <w:pPr>
              <w:pStyle w:val="Tabletext"/>
              <w:rPr>
                <w:sz w:val="20"/>
                <w:szCs w:val="20"/>
              </w:rPr>
            </w:pPr>
            <w:r w:rsidRPr="00CE118A">
              <w:rPr>
                <w:rFonts w:ascii="Segoe UI Symbol" w:hAnsi="Segoe UI Symbol" w:cs="Segoe UI Symbol"/>
                <w:sz w:val="20"/>
                <w:szCs w:val="20"/>
              </w:rPr>
              <w:t>✔</w:t>
            </w:r>
            <w:r w:rsidRPr="00CE118A">
              <w:rPr>
                <w:sz w:val="20"/>
                <w:szCs w:val="20"/>
              </w:rPr>
              <w:t xml:space="preserve"> </w:t>
            </w:r>
            <w:r w:rsidR="004E0E28" w:rsidRPr="00CE118A">
              <w:rPr>
                <w:sz w:val="20"/>
                <w:szCs w:val="20"/>
              </w:rPr>
              <w:t>D</w:t>
            </w:r>
            <w:r w:rsidRPr="00CE118A">
              <w:rPr>
                <w:sz w:val="20"/>
                <w:szCs w:val="20"/>
              </w:rPr>
              <w:t>emonstrated cultural safety</w:t>
            </w:r>
          </w:p>
        </w:tc>
        <w:tc>
          <w:tcPr>
            <w:tcW w:w="4608" w:type="dxa"/>
          </w:tcPr>
          <w:p w14:paraId="2F718537" w14:textId="77777777" w:rsidR="008B4E77" w:rsidRPr="008B4E77" w:rsidRDefault="008B4E77" w:rsidP="00D91AC6">
            <w:pPr>
              <w:pStyle w:val="Tabletext"/>
            </w:pPr>
          </w:p>
        </w:tc>
      </w:tr>
      <w:tr w:rsidR="008B4E77" w14:paraId="60C83186" w14:textId="77777777" w:rsidTr="008B4E77">
        <w:trPr>
          <w:trHeight w:val="293"/>
        </w:trPr>
        <w:tc>
          <w:tcPr>
            <w:tcW w:w="4748" w:type="dxa"/>
          </w:tcPr>
          <w:p w14:paraId="58CC68EC" w14:textId="77777777" w:rsidR="008B4E77" w:rsidRPr="00CE118A" w:rsidRDefault="008B4E77" w:rsidP="00CE118A">
            <w:pPr>
              <w:pStyle w:val="Tabletext"/>
              <w:rPr>
                <w:sz w:val="20"/>
                <w:szCs w:val="20"/>
              </w:rPr>
            </w:pPr>
            <w:r w:rsidRPr="00CE118A">
              <w:rPr>
                <w:rFonts w:ascii="Segoe UI Symbol" w:hAnsi="Segoe UI Symbol" w:cs="Segoe UI Symbol"/>
                <w:sz w:val="20"/>
                <w:szCs w:val="20"/>
              </w:rPr>
              <w:t>✔</w:t>
            </w:r>
            <w:r w:rsidRPr="00CE118A">
              <w:rPr>
                <w:sz w:val="20"/>
                <w:szCs w:val="20"/>
              </w:rPr>
              <w:t xml:space="preserve"> </w:t>
            </w:r>
            <w:r w:rsidR="004E0E28" w:rsidRPr="00CE118A">
              <w:rPr>
                <w:sz w:val="20"/>
                <w:szCs w:val="20"/>
              </w:rPr>
              <w:t>Aboriginal Community Controlled Organi</w:t>
            </w:r>
            <w:r w:rsidR="00455DAE" w:rsidRPr="00CE118A">
              <w:rPr>
                <w:sz w:val="20"/>
                <w:szCs w:val="20"/>
              </w:rPr>
              <w:t>s</w:t>
            </w:r>
            <w:r w:rsidR="004E0E28" w:rsidRPr="00CE118A">
              <w:rPr>
                <w:sz w:val="20"/>
                <w:szCs w:val="20"/>
              </w:rPr>
              <w:t>ations</w:t>
            </w:r>
          </w:p>
        </w:tc>
        <w:tc>
          <w:tcPr>
            <w:tcW w:w="4608" w:type="dxa"/>
          </w:tcPr>
          <w:p w14:paraId="34E2183A" w14:textId="77777777" w:rsidR="008B4E77" w:rsidRPr="008B4E77" w:rsidRDefault="008B4E77" w:rsidP="00D91AC6">
            <w:pPr>
              <w:pStyle w:val="Tabletext"/>
            </w:pPr>
          </w:p>
        </w:tc>
      </w:tr>
      <w:tr w:rsidR="004E0E28" w14:paraId="433EE32F" w14:textId="77777777" w:rsidTr="008B4E77">
        <w:trPr>
          <w:cnfStyle w:val="000000100000" w:firstRow="0" w:lastRow="0" w:firstColumn="0" w:lastColumn="0" w:oddVBand="0" w:evenVBand="0" w:oddHBand="1" w:evenHBand="0" w:firstRowFirstColumn="0" w:firstRowLastColumn="0" w:lastRowFirstColumn="0" w:lastRowLastColumn="0"/>
          <w:trHeight w:val="293"/>
        </w:trPr>
        <w:tc>
          <w:tcPr>
            <w:tcW w:w="4748" w:type="dxa"/>
          </w:tcPr>
          <w:p w14:paraId="7B20D451" w14:textId="65E275C8" w:rsidR="004E0E28" w:rsidRPr="00CE118A" w:rsidRDefault="004E0E28" w:rsidP="00CE118A">
            <w:pPr>
              <w:pStyle w:val="Tabletext"/>
              <w:rPr>
                <w:sz w:val="20"/>
                <w:szCs w:val="20"/>
              </w:rPr>
            </w:pPr>
            <w:r w:rsidRPr="00CE118A">
              <w:rPr>
                <w:rFonts w:ascii="Segoe UI Symbol" w:hAnsi="Segoe UI Symbol" w:cs="Segoe UI Symbol"/>
                <w:sz w:val="20"/>
                <w:szCs w:val="20"/>
              </w:rPr>
              <w:t>✔</w:t>
            </w:r>
            <w:r w:rsidRPr="00CE118A">
              <w:rPr>
                <w:sz w:val="20"/>
                <w:szCs w:val="20"/>
              </w:rPr>
              <w:t xml:space="preserve"> Identified positions for First Nations </w:t>
            </w:r>
            <w:r w:rsidR="00C82A21" w:rsidRPr="00CE118A">
              <w:rPr>
                <w:sz w:val="20"/>
                <w:szCs w:val="20"/>
              </w:rPr>
              <w:t>w</w:t>
            </w:r>
            <w:r w:rsidRPr="00CE118A">
              <w:rPr>
                <w:sz w:val="20"/>
                <w:szCs w:val="20"/>
              </w:rPr>
              <w:t xml:space="preserve">omen </w:t>
            </w:r>
          </w:p>
        </w:tc>
        <w:tc>
          <w:tcPr>
            <w:tcW w:w="4608" w:type="dxa"/>
          </w:tcPr>
          <w:p w14:paraId="357E242F" w14:textId="77777777" w:rsidR="004E0E28" w:rsidRPr="008B4E77" w:rsidRDefault="004E0E28" w:rsidP="00D91AC6">
            <w:pPr>
              <w:pStyle w:val="Tabletext"/>
            </w:pPr>
          </w:p>
        </w:tc>
      </w:tr>
      <w:tr w:rsidR="00F349D1" w14:paraId="3D4A0D5E" w14:textId="77777777" w:rsidTr="008B4E77">
        <w:trPr>
          <w:trHeight w:val="293"/>
        </w:trPr>
        <w:tc>
          <w:tcPr>
            <w:tcW w:w="4748" w:type="dxa"/>
          </w:tcPr>
          <w:p w14:paraId="5E9E602F" w14:textId="77777777" w:rsidR="00F349D1" w:rsidRPr="00CE118A" w:rsidRDefault="00F349D1" w:rsidP="00CE118A">
            <w:pPr>
              <w:pStyle w:val="Tabletext"/>
              <w:rPr>
                <w:sz w:val="20"/>
                <w:szCs w:val="20"/>
              </w:rPr>
            </w:pPr>
            <w:r w:rsidRPr="00CE118A">
              <w:rPr>
                <w:rFonts w:ascii="Segoe UI Symbol" w:hAnsi="Segoe UI Symbol" w:cs="Segoe UI Symbol"/>
                <w:sz w:val="20"/>
                <w:szCs w:val="20"/>
              </w:rPr>
              <w:t>✔</w:t>
            </w:r>
            <w:r w:rsidRPr="00CE118A">
              <w:rPr>
                <w:sz w:val="20"/>
                <w:szCs w:val="20"/>
              </w:rPr>
              <w:t>Active Reconciliation Action Plan</w:t>
            </w:r>
          </w:p>
        </w:tc>
        <w:tc>
          <w:tcPr>
            <w:tcW w:w="4608" w:type="dxa"/>
          </w:tcPr>
          <w:p w14:paraId="7CDCCA4E" w14:textId="77777777" w:rsidR="00F349D1" w:rsidRPr="008B4E77" w:rsidRDefault="00F349D1" w:rsidP="00D91AC6">
            <w:pPr>
              <w:pStyle w:val="Tabletext"/>
            </w:pPr>
          </w:p>
        </w:tc>
      </w:tr>
    </w:tbl>
    <w:p w14:paraId="5CEFB2E0" w14:textId="77777777" w:rsidR="008B4E77" w:rsidRPr="008B4E77" w:rsidRDefault="008B4E77" w:rsidP="008B4E77">
      <w:pPr>
        <w:pStyle w:val="Bulletlist"/>
        <w:numPr>
          <w:ilvl w:val="0"/>
          <w:numId w:val="0"/>
        </w:numPr>
        <w:ind w:left="340" w:hanging="340"/>
      </w:pPr>
    </w:p>
    <w:p w14:paraId="72AE3282" w14:textId="7F753B99" w:rsidR="00F2433C" w:rsidRPr="00F2433C" w:rsidRDefault="00F2433C" w:rsidP="00F2433C">
      <w:pPr>
        <w:pStyle w:val="BodyHeadingBlue"/>
      </w:pPr>
      <w:r>
        <w:t>Barriers in a</w:t>
      </w:r>
      <w:r w:rsidR="000B7084">
        <w:t xml:space="preserve">pplying for </w:t>
      </w:r>
      <w:r w:rsidR="000A6C9D">
        <w:t xml:space="preserve">and managing </w:t>
      </w:r>
      <w:r w:rsidR="000B7084">
        <w:t>grants</w:t>
      </w:r>
      <w:r>
        <w:t xml:space="preserve">, and </w:t>
      </w:r>
      <w:r w:rsidR="00817A31">
        <w:t>support</w:t>
      </w:r>
      <w:r>
        <w:t xml:space="preserve"> </w:t>
      </w:r>
      <w:r w:rsidR="00FC4489">
        <w:t xml:space="preserve">DSS </w:t>
      </w:r>
      <w:r>
        <w:t xml:space="preserve">can </w:t>
      </w:r>
      <w:r w:rsidR="00817A31">
        <w:t>provide</w:t>
      </w:r>
    </w:p>
    <w:p w14:paraId="1FD49E17" w14:textId="15B32064" w:rsidR="00342F03" w:rsidRDefault="00342F03" w:rsidP="00342F03">
      <w:pPr>
        <w:pStyle w:val="Bulletlist"/>
      </w:pPr>
      <w:r>
        <w:t xml:space="preserve">Focus group participants were asked about their previous experience applying for grants and the ways in which </w:t>
      </w:r>
      <w:r w:rsidR="00FC4489">
        <w:t>DSS</w:t>
      </w:r>
      <w:r>
        <w:t xml:space="preserve"> could support them in their applic</w:t>
      </w:r>
      <w:r w:rsidRPr="00D1459C">
        <w:t>ation. S</w:t>
      </w:r>
      <w:r>
        <w:t xml:space="preserve">takeholders identified a </w:t>
      </w:r>
      <w:r w:rsidRPr="00796BCE">
        <w:rPr>
          <w:b/>
          <w:bCs/>
        </w:rPr>
        <w:t>lack of</w:t>
      </w:r>
      <w:r w:rsidR="00C63BAB" w:rsidRPr="00796BCE">
        <w:rPr>
          <w:b/>
          <w:bCs/>
        </w:rPr>
        <w:t xml:space="preserve"> available</w:t>
      </w:r>
      <w:r w:rsidRPr="00796BCE">
        <w:rPr>
          <w:b/>
          <w:bCs/>
        </w:rPr>
        <w:t xml:space="preserve"> time to dedicate to program design and proposal writing</w:t>
      </w:r>
      <w:r w:rsidR="00C63BAB">
        <w:t>,</w:t>
      </w:r>
      <w:r>
        <w:t xml:space="preserve"> and </w:t>
      </w:r>
      <w:r w:rsidRPr="003676FF">
        <w:rPr>
          <w:b/>
          <w:bCs/>
        </w:rPr>
        <w:t>a lack of internal grant-writing</w:t>
      </w:r>
      <w:r w:rsidR="004B09AC" w:rsidRPr="003676FF">
        <w:rPr>
          <w:b/>
          <w:bCs/>
        </w:rPr>
        <w:t xml:space="preserve"> expertise</w:t>
      </w:r>
      <w:r>
        <w:t xml:space="preserve"> as common challenges in applying for grants. </w:t>
      </w:r>
    </w:p>
    <w:p w14:paraId="3AC18B62" w14:textId="48F088C1" w:rsidR="00A90C6D" w:rsidRDefault="000A6C9D" w:rsidP="00342F03">
      <w:pPr>
        <w:pStyle w:val="Bulletlist"/>
      </w:pPr>
      <w:r>
        <w:t>Stak</w:t>
      </w:r>
      <w:r w:rsidRPr="00D1459C">
        <w:t>eholders</w:t>
      </w:r>
      <w:r w:rsidR="00342F03" w:rsidRPr="00D1459C">
        <w:t xml:space="preserve"> sugge</w:t>
      </w:r>
      <w:r w:rsidR="00342F03">
        <w:t xml:space="preserve">sted </w:t>
      </w:r>
      <w:r>
        <w:t>ways</w:t>
      </w:r>
      <w:r w:rsidR="00342F03">
        <w:t xml:space="preserve"> </w:t>
      </w:r>
      <w:r w:rsidR="00FC4489">
        <w:t>DSS</w:t>
      </w:r>
      <w:r w:rsidR="00342F03">
        <w:t xml:space="preserve"> could support applicants </w:t>
      </w:r>
      <w:r w:rsidR="00D1459C">
        <w:t>f</w:t>
      </w:r>
      <w:r>
        <w:t>o</w:t>
      </w:r>
      <w:r w:rsidR="00D1459C">
        <w:t>r</w:t>
      </w:r>
      <w:r>
        <w:t xml:space="preserve"> the grant, as well as organisations </w:t>
      </w:r>
      <w:r w:rsidR="00D1459C">
        <w:t>that</w:t>
      </w:r>
      <w:r>
        <w:t xml:space="preserve"> are successful in funding. </w:t>
      </w:r>
      <w:r w:rsidR="00AA5BFB">
        <w:t>These are</w:t>
      </w:r>
      <w:r>
        <w:t xml:space="preserve"> outlined in </w:t>
      </w:r>
      <w:r>
        <w:fldChar w:fldCharType="begin"/>
      </w:r>
      <w:r>
        <w:instrText xml:space="preserve"> REF _Ref131594059 \h </w:instrText>
      </w:r>
      <w:r>
        <w:fldChar w:fldCharType="separate"/>
      </w:r>
      <w:r w:rsidR="007A3383">
        <w:t xml:space="preserve">Table </w:t>
      </w:r>
      <w:r w:rsidR="007A3383">
        <w:rPr>
          <w:noProof/>
        </w:rPr>
        <w:t>2</w:t>
      </w:r>
      <w:r>
        <w:fldChar w:fldCharType="end"/>
      </w:r>
      <w:r>
        <w:t xml:space="preserve"> below.</w:t>
      </w:r>
      <w:r w:rsidR="00A90C6D">
        <w:br w:type="page"/>
      </w:r>
    </w:p>
    <w:p w14:paraId="2E0CFCD4" w14:textId="6CE9B59F" w:rsidR="000A6C9D" w:rsidRDefault="000A6C9D" w:rsidP="000835D9">
      <w:pPr>
        <w:pStyle w:val="TableFigureChartTitle"/>
      </w:pPr>
      <w:bookmarkStart w:id="8" w:name="_Ref131594059"/>
      <w:bookmarkStart w:id="9" w:name="_Toc147910420"/>
      <w:r>
        <w:lastRenderedPageBreak/>
        <w:t xml:space="preserve">Table </w:t>
      </w:r>
      <w:r w:rsidR="004D727B">
        <w:fldChar w:fldCharType="begin"/>
      </w:r>
      <w:r w:rsidR="004D727B">
        <w:instrText xml:space="preserve"> SEQ Table \* ARABIC </w:instrText>
      </w:r>
      <w:r w:rsidR="004D727B">
        <w:fldChar w:fldCharType="separate"/>
      </w:r>
      <w:r w:rsidR="00F37F7B">
        <w:rPr>
          <w:noProof/>
        </w:rPr>
        <w:t>2</w:t>
      </w:r>
      <w:r w:rsidR="004D727B">
        <w:rPr>
          <w:noProof/>
        </w:rPr>
        <w:fldChar w:fldCharType="end"/>
      </w:r>
      <w:bookmarkEnd w:id="8"/>
      <w:r>
        <w:t>: Suggestions f</w:t>
      </w:r>
      <w:r w:rsidRPr="00843069">
        <w:t xml:space="preserve">or </w:t>
      </w:r>
      <w:r w:rsidR="00843069">
        <w:t>DSS</w:t>
      </w:r>
      <w:r>
        <w:t xml:space="preserve"> support in applying for and managing </w:t>
      </w:r>
      <w:r w:rsidR="00843069">
        <w:t xml:space="preserve">a </w:t>
      </w:r>
      <w:r>
        <w:t>gr</w:t>
      </w:r>
      <w:r w:rsidRPr="00843069">
        <w:t>ant</w:t>
      </w:r>
      <w:bookmarkEnd w:id="9"/>
    </w:p>
    <w:tbl>
      <w:tblPr>
        <w:tblStyle w:val="PeakboundTable"/>
        <w:tblW w:w="9356" w:type="dxa"/>
        <w:tblLook w:val="04A0" w:firstRow="1" w:lastRow="0" w:firstColumn="1" w:lastColumn="0" w:noHBand="0" w:noVBand="1"/>
        <w:tblCaption w:val="Table 2: Suggestions for DSS support in applying for and managing a grant"/>
        <w:tblDescription w:val="Table showing suggestions for Department support in applying for the grant and Department support in managing successful grants."/>
      </w:tblPr>
      <w:tblGrid>
        <w:gridCol w:w="4536"/>
        <w:gridCol w:w="4820"/>
      </w:tblGrid>
      <w:tr w:rsidR="000A6C9D" w14:paraId="2CF51E61" w14:textId="77777777" w:rsidTr="000A6C9D">
        <w:trPr>
          <w:cnfStyle w:val="100000000000" w:firstRow="1" w:lastRow="0" w:firstColumn="0" w:lastColumn="0" w:oddVBand="0" w:evenVBand="0" w:oddHBand="0" w:evenHBand="0" w:firstRowFirstColumn="0" w:firstRowLastColumn="0" w:lastRowFirstColumn="0" w:lastRowLastColumn="0"/>
          <w:trHeight w:val="278"/>
        </w:trPr>
        <w:tc>
          <w:tcPr>
            <w:tcW w:w="4536" w:type="dxa"/>
          </w:tcPr>
          <w:p w14:paraId="434C1CC5" w14:textId="77777777" w:rsidR="000A6C9D" w:rsidRPr="00FB15C0" w:rsidRDefault="000A6C9D" w:rsidP="000A6C9D">
            <w:pPr>
              <w:pStyle w:val="TableHeading"/>
              <w:rPr>
                <w:b/>
                <w:bCs/>
              </w:rPr>
            </w:pPr>
            <w:r>
              <w:rPr>
                <w:b/>
                <w:bCs/>
              </w:rPr>
              <w:t xml:space="preserve">Department support in </w:t>
            </w:r>
            <w:r w:rsidRPr="00B22043">
              <w:rPr>
                <w:b/>
                <w:bCs/>
              </w:rPr>
              <w:t>applying for the grant</w:t>
            </w:r>
          </w:p>
        </w:tc>
        <w:tc>
          <w:tcPr>
            <w:tcW w:w="4820" w:type="dxa"/>
          </w:tcPr>
          <w:p w14:paraId="59F87D8B" w14:textId="77777777" w:rsidR="000A6C9D" w:rsidRDefault="000A6C9D" w:rsidP="000A6C9D">
            <w:pPr>
              <w:pStyle w:val="TableHeading"/>
              <w:rPr>
                <w:b/>
                <w:bCs/>
              </w:rPr>
            </w:pPr>
            <w:r>
              <w:rPr>
                <w:b/>
                <w:bCs/>
              </w:rPr>
              <w:t xml:space="preserve">Department support in </w:t>
            </w:r>
            <w:r w:rsidRPr="00B22043">
              <w:rPr>
                <w:b/>
                <w:bCs/>
              </w:rPr>
              <w:t>managing successful grants</w:t>
            </w:r>
          </w:p>
        </w:tc>
      </w:tr>
      <w:tr w:rsidR="000A6C9D" w14:paraId="2B195357" w14:textId="77777777" w:rsidTr="000A6C9D">
        <w:trPr>
          <w:cnfStyle w:val="000000100000" w:firstRow="0" w:lastRow="0" w:firstColumn="0" w:lastColumn="0" w:oddVBand="0" w:evenVBand="0" w:oddHBand="1" w:evenHBand="0" w:firstRowFirstColumn="0" w:firstRowLastColumn="0" w:lastRowFirstColumn="0" w:lastRowLastColumn="0"/>
          <w:trHeight w:val="278"/>
        </w:trPr>
        <w:tc>
          <w:tcPr>
            <w:tcW w:w="4536" w:type="dxa"/>
          </w:tcPr>
          <w:p w14:paraId="529B43C2" w14:textId="77777777" w:rsidR="000A6C9D" w:rsidRPr="00A90C6D" w:rsidRDefault="000A6C9D" w:rsidP="00D91AC6">
            <w:pPr>
              <w:pStyle w:val="Tabletext"/>
              <w:numPr>
                <w:ilvl w:val="0"/>
                <w:numId w:val="46"/>
              </w:numPr>
              <w:rPr>
                <w:sz w:val="20"/>
                <w:szCs w:val="20"/>
              </w:rPr>
            </w:pPr>
            <w:r w:rsidRPr="00A90C6D">
              <w:rPr>
                <w:sz w:val="20"/>
                <w:szCs w:val="20"/>
              </w:rPr>
              <w:t>Provide clear information through workshops or forums</w:t>
            </w:r>
          </w:p>
        </w:tc>
        <w:tc>
          <w:tcPr>
            <w:tcW w:w="4820" w:type="dxa"/>
          </w:tcPr>
          <w:p w14:paraId="29833F1F" w14:textId="45A29139" w:rsidR="00A05EDC" w:rsidRPr="00A90C6D" w:rsidRDefault="00667B00" w:rsidP="00D91AC6">
            <w:pPr>
              <w:pStyle w:val="Tabletext"/>
              <w:numPr>
                <w:ilvl w:val="0"/>
                <w:numId w:val="46"/>
              </w:numPr>
              <w:rPr>
                <w:sz w:val="20"/>
                <w:szCs w:val="20"/>
              </w:rPr>
            </w:pPr>
            <w:r w:rsidRPr="00A90C6D">
              <w:rPr>
                <w:sz w:val="20"/>
                <w:szCs w:val="20"/>
              </w:rPr>
              <w:t>Provide o</w:t>
            </w:r>
            <w:r w:rsidR="00A05EDC" w:rsidRPr="00A90C6D">
              <w:rPr>
                <w:sz w:val="20"/>
                <w:szCs w:val="20"/>
              </w:rPr>
              <w:t>ngoing or flexible funding, especially for regional or remote areas</w:t>
            </w:r>
          </w:p>
        </w:tc>
      </w:tr>
      <w:tr w:rsidR="000A6C9D" w14:paraId="0C04BE2B" w14:textId="77777777" w:rsidTr="000A6C9D">
        <w:trPr>
          <w:trHeight w:val="293"/>
        </w:trPr>
        <w:tc>
          <w:tcPr>
            <w:tcW w:w="4536" w:type="dxa"/>
          </w:tcPr>
          <w:p w14:paraId="059F0A99" w14:textId="77777777" w:rsidR="000A6C9D" w:rsidRPr="00A90C6D" w:rsidRDefault="000A6C9D" w:rsidP="00D91AC6">
            <w:pPr>
              <w:pStyle w:val="Tabletext"/>
              <w:numPr>
                <w:ilvl w:val="0"/>
                <w:numId w:val="46"/>
              </w:numPr>
              <w:rPr>
                <w:sz w:val="20"/>
                <w:szCs w:val="20"/>
              </w:rPr>
            </w:pPr>
            <w:r w:rsidRPr="00A90C6D">
              <w:rPr>
                <w:sz w:val="20"/>
                <w:szCs w:val="20"/>
              </w:rPr>
              <w:t>Give feedback on applications</w:t>
            </w:r>
          </w:p>
        </w:tc>
        <w:tc>
          <w:tcPr>
            <w:tcW w:w="4820" w:type="dxa"/>
          </w:tcPr>
          <w:p w14:paraId="416648D4" w14:textId="08AA1EF7" w:rsidR="000A6C9D" w:rsidRPr="00A90C6D" w:rsidRDefault="00A05EDC" w:rsidP="00D91AC6">
            <w:pPr>
              <w:pStyle w:val="Tabletext"/>
              <w:numPr>
                <w:ilvl w:val="0"/>
                <w:numId w:val="46"/>
              </w:numPr>
              <w:rPr>
                <w:sz w:val="20"/>
                <w:szCs w:val="20"/>
              </w:rPr>
            </w:pPr>
            <w:r w:rsidRPr="00A90C6D">
              <w:rPr>
                <w:sz w:val="20"/>
                <w:szCs w:val="20"/>
              </w:rPr>
              <w:t>Fund</w:t>
            </w:r>
            <w:r w:rsidR="00667B00" w:rsidRPr="00A90C6D">
              <w:rPr>
                <w:sz w:val="20"/>
                <w:szCs w:val="20"/>
              </w:rPr>
              <w:t xml:space="preserve"> </w:t>
            </w:r>
            <w:r w:rsidRPr="00A90C6D">
              <w:rPr>
                <w:sz w:val="20"/>
                <w:szCs w:val="20"/>
              </w:rPr>
              <w:t>services in addition to capital works</w:t>
            </w:r>
          </w:p>
        </w:tc>
      </w:tr>
      <w:tr w:rsidR="000A6C9D" w14:paraId="798CDE5A" w14:textId="77777777" w:rsidTr="000A6C9D">
        <w:trPr>
          <w:cnfStyle w:val="000000100000" w:firstRow="0" w:lastRow="0" w:firstColumn="0" w:lastColumn="0" w:oddVBand="0" w:evenVBand="0" w:oddHBand="1" w:evenHBand="0" w:firstRowFirstColumn="0" w:firstRowLastColumn="0" w:lastRowFirstColumn="0" w:lastRowLastColumn="0"/>
          <w:trHeight w:val="278"/>
        </w:trPr>
        <w:tc>
          <w:tcPr>
            <w:tcW w:w="4536" w:type="dxa"/>
          </w:tcPr>
          <w:p w14:paraId="2D00203C" w14:textId="77777777" w:rsidR="000A6C9D" w:rsidRPr="00A90C6D" w:rsidRDefault="000A6C9D" w:rsidP="00D91AC6">
            <w:pPr>
              <w:pStyle w:val="Tabletext"/>
              <w:numPr>
                <w:ilvl w:val="0"/>
                <w:numId w:val="46"/>
              </w:numPr>
              <w:rPr>
                <w:sz w:val="20"/>
                <w:szCs w:val="20"/>
              </w:rPr>
            </w:pPr>
            <w:r w:rsidRPr="00A90C6D">
              <w:rPr>
                <w:sz w:val="20"/>
                <w:szCs w:val="20"/>
              </w:rPr>
              <w:t xml:space="preserve">Provide additional time </w:t>
            </w:r>
            <w:r w:rsidR="00A05EDC" w:rsidRPr="00A90C6D">
              <w:rPr>
                <w:sz w:val="20"/>
                <w:szCs w:val="20"/>
              </w:rPr>
              <w:t>and funding for preparing applications</w:t>
            </w:r>
          </w:p>
        </w:tc>
        <w:tc>
          <w:tcPr>
            <w:tcW w:w="4820" w:type="dxa"/>
          </w:tcPr>
          <w:p w14:paraId="78E16281" w14:textId="01729964" w:rsidR="000A6C9D" w:rsidRPr="00A90C6D" w:rsidRDefault="003D5788" w:rsidP="00D91AC6">
            <w:pPr>
              <w:pStyle w:val="Tabletext"/>
              <w:numPr>
                <w:ilvl w:val="0"/>
                <w:numId w:val="46"/>
              </w:numPr>
              <w:rPr>
                <w:sz w:val="20"/>
                <w:szCs w:val="20"/>
              </w:rPr>
            </w:pPr>
            <w:r w:rsidRPr="00A90C6D">
              <w:rPr>
                <w:sz w:val="20"/>
                <w:szCs w:val="20"/>
              </w:rPr>
              <w:t xml:space="preserve">Fund and encourage </w:t>
            </w:r>
            <w:r w:rsidR="00A05EDC" w:rsidRPr="00A90C6D">
              <w:rPr>
                <w:sz w:val="20"/>
                <w:szCs w:val="20"/>
              </w:rPr>
              <w:t>training for staff</w:t>
            </w:r>
            <w:r w:rsidRPr="00A90C6D">
              <w:rPr>
                <w:sz w:val="20"/>
                <w:szCs w:val="20"/>
              </w:rPr>
              <w:t xml:space="preserve"> in successful grantee organisat</w:t>
            </w:r>
            <w:r w:rsidR="00C82A21" w:rsidRPr="00A90C6D">
              <w:rPr>
                <w:sz w:val="20"/>
                <w:szCs w:val="20"/>
              </w:rPr>
              <w:t>i</w:t>
            </w:r>
            <w:r w:rsidRPr="00A90C6D">
              <w:rPr>
                <w:sz w:val="20"/>
                <w:szCs w:val="20"/>
              </w:rPr>
              <w:t>ons</w:t>
            </w:r>
          </w:p>
        </w:tc>
      </w:tr>
      <w:tr w:rsidR="000A6C9D" w14:paraId="483F3196" w14:textId="77777777" w:rsidTr="000A6C9D">
        <w:trPr>
          <w:trHeight w:val="278"/>
        </w:trPr>
        <w:tc>
          <w:tcPr>
            <w:tcW w:w="4536" w:type="dxa"/>
          </w:tcPr>
          <w:p w14:paraId="2C3B2DB0" w14:textId="77777777" w:rsidR="000A6C9D" w:rsidRPr="00A90C6D" w:rsidRDefault="00A05EDC" w:rsidP="00D91AC6">
            <w:pPr>
              <w:pStyle w:val="Tabletext"/>
              <w:numPr>
                <w:ilvl w:val="0"/>
                <w:numId w:val="46"/>
              </w:numPr>
              <w:rPr>
                <w:sz w:val="20"/>
                <w:szCs w:val="20"/>
              </w:rPr>
            </w:pPr>
            <w:r w:rsidRPr="00A90C6D">
              <w:rPr>
                <w:sz w:val="20"/>
                <w:szCs w:val="20"/>
              </w:rPr>
              <w:t>Encourage partnerships between organisations</w:t>
            </w:r>
          </w:p>
        </w:tc>
        <w:tc>
          <w:tcPr>
            <w:tcW w:w="4820" w:type="dxa"/>
          </w:tcPr>
          <w:p w14:paraId="755490AD" w14:textId="412DDC14" w:rsidR="000A6C9D" w:rsidRPr="00A90C6D" w:rsidRDefault="00A05EDC" w:rsidP="00D91AC6">
            <w:pPr>
              <w:pStyle w:val="Tabletext"/>
              <w:numPr>
                <w:ilvl w:val="0"/>
                <w:numId w:val="46"/>
              </w:numPr>
              <w:rPr>
                <w:sz w:val="20"/>
                <w:szCs w:val="20"/>
              </w:rPr>
            </w:pPr>
            <w:r w:rsidRPr="00A90C6D">
              <w:rPr>
                <w:sz w:val="20"/>
                <w:szCs w:val="20"/>
              </w:rPr>
              <w:t>Facilitate connections to partners</w:t>
            </w:r>
          </w:p>
        </w:tc>
      </w:tr>
      <w:tr w:rsidR="000A6C9D" w14:paraId="78C3799C" w14:textId="77777777" w:rsidTr="000A6C9D">
        <w:trPr>
          <w:cnfStyle w:val="000000100000" w:firstRow="0" w:lastRow="0" w:firstColumn="0" w:lastColumn="0" w:oddVBand="0" w:evenVBand="0" w:oddHBand="1" w:evenHBand="0" w:firstRowFirstColumn="0" w:firstRowLastColumn="0" w:lastRowFirstColumn="0" w:lastRowLastColumn="0"/>
          <w:trHeight w:val="293"/>
        </w:trPr>
        <w:tc>
          <w:tcPr>
            <w:tcW w:w="4536" w:type="dxa"/>
          </w:tcPr>
          <w:p w14:paraId="3B5E2155" w14:textId="24733286" w:rsidR="000A6C9D" w:rsidRPr="00A90C6D" w:rsidRDefault="00D1459C" w:rsidP="00D91AC6">
            <w:pPr>
              <w:pStyle w:val="Tabletext"/>
              <w:numPr>
                <w:ilvl w:val="0"/>
                <w:numId w:val="46"/>
              </w:numPr>
              <w:rPr>
                <w:sz w:val="20"/>
                <w:szCs w:val="20"/>
              </w:rPr>
            </w:pPr>
            <w:r w:rsidRPr="00A90C6D">
              <w:rPr>
                <w:sz w:val="20"/>
                <w:szCs w:val="20"/>
              </w:rPr>
              <w:t>Provide o</w:t>
            </w:r>
            <w:r w:rsidR="00A05EDC" w:rsidRPr="00A90C6D">
              <w:rPr>
                <w:sz w:val="20"/>
                <w:szCs w:val="20"/>
              </w:rPr>
              <w:t>pportunity for initial proposal or EOI</w:t>
            </w:r>
          </w:p>
        </w:tc>
        <w:tc>
          <w:tcPr>
            <w:tcW w:w="4820" w:type="dxa"/>
          </w:tcPr>
          <w:p w14:paraId="25318B8D" w14:textId="77777777" w:rsidR="000A6C9D" w:rsidRPr="00A90C6D" w:rsidRDefault="00A05EDC" w:rsidP="00D91AC6">
            <w:pPr>
              <w:pStyle w:val="Tabletext"/>
              <w:numPr>
                <w:ilvl w:val="0"/>
                <w:numId w:val="46"/>
              </w:numPr>
              <w:rPr>
                <w:sz w:val="20"/>
                <w:szCs w:val="20"/>
              </w:rPr>
            </w:pPr>
            <w:r w:rsidRPr="00A90C6D">
              <w:rPr>
                <w:sz w:val="20"/>
                <w:szCs w:val="20"/>
              </w:rPr>
              <w:t xml:space="preserve">Allow autonomy in choosing contractors </w:t>
            </w:r>
          </w:p>
        </w:tc>
      </w:tr>
    </w:tbl>
    <w:p w14:paraId="7E1D4A42" w14:textId="77777777" w:rsidR="00A05EDC" w:rsidRDefault="00A05EDC" w:rsidP="000A6C9D">
      <w:pPr>
        <w:pStyle w:val="Bulletlist"/>
        <w:numPr>
          <w:ilvl w:val="0"/>
          <w:numId w:val="0"/>
        </w:numPr>
      </w:pPr>
    </w:p>
    <w:p w14:paraId="44B6B818" w14:textId="2D8DD335" w:rsidR="00272129" w:rsidRDefault="003D4F60" w:rsidP="00272129">
      <w:pPr>
        <w:pStyle w:val="BodyHeadingBlue"/>
      </w:pPr>
      <w:r>
        <w:t xml:space="preserve">Core themes to inform </w:t>
      </w:r>
      <w:r w:rsidRPr="00817A31">
        <w:t>the Inclusion Round</w:t>
      </w:r>
      <w:r w:rsidR="00FF5F63">
        <w:t xml:space="preserve"> </w:t>
      </w:r>
    </w:p>
    <w:p w14:paraId="30C13CC6" w14:textId="32D1E081" w:rsidR="00F841FB" w:rsidRDefault="00F841FB" w:rsidP="00F841FB">
      <w:pPr>
        <w:pStyle w:val="Bulletlist"/>
      </w:pPr>
      <w:r w:rsidRPr="00EA5E74">
        <w:t xml:space="preserve">Core </w:t>
      </w:r>
      <w:r w:rsidR="00CA0541" w:rsidRPr="00EA5E74">
        <w:t xml:space="preserve">themes </w:t>
      </w:r>
      <w:r w:rsidR="00EA5E74" w:rsidRPr="00EA5E74">
        <w:t>that emerged in the findings we</w:t>
      </w:r>
      <w:r w:rsidRPr="00EA5E74">
        <w:t>re</w:t>
      </w:r>
      <w:r w:rsidR="00CA0541" w:rsidRPr="00EA5E74">
        <w:t xml:space="preserve"> that</w:t>
      </w:r>
      <w:r w:rsidRPr="00667B00">
        <w:rPr>
          <w:b/>
          <w:bCs/>
        </w:rPr>
        <w:t xml:space="preserve"> th</w:t>
      </w:r>
      <w:r w:rsidRPr="006747CF">
        <w:rPr>
          <w:b/>
          <w:bCs/>
        </w:rPr>
        <w:t xml:space="preserve">e Inclusion Round </w:t>
      </w:r>
      <w:r w:rsidR="00CA0541">
        <w:rPr>
          <w:b/>
          <w:bCs/>
        </w:rPr>
        <w:t>should</w:t>
      </w:r>
      <w:r w:rsidRPr="006747CF">
        <w:rPr>
          <w:b/>
          <w:bCs/>
        </w:rPr>
        <w:t xml:space="preserve"> fund the building of emergency accommodation that reflects the unique needs of </w:t>
      </w:r>
      <w:r w:rsidR="00AA5BFB">
        <w:rPr>
          <w:b/>
          <w:bCs/>
        </w:rPr>
        <w:t>each</w:t>
      </w:r>
      <w:r w:rsidRPr="006747CF">
        <w:rPr>
          <w:b/>
          <w:bCs/>
        </w:rPr>
        <w:t xml:space="preserve"> community, </w:t>
      </w:r>
      <w:r w:rsidR="00FE59F3">
        <w:rPr>
          <w:b/>
          <w:bCs/>
        </w:rPr>
        <w:t>fund organisations that have a</w:t>
      </w:r>
      <w:r w:rsidR="00FE59F3" w:rsidRPr="00667B00">
        <w:rPr>
          <w:b/>
          <w:bCs/>
        </w:rPr>
        <w:t xml:space="preserve">nd will continue to </w:t>
      </w:r>
      <w:r w:rsidRPr="00667B00">
        <w:rPr>
          <w:b/>
          <w:bCs/>
        </w:rPr>
        <w:t>consult wit</w:t>
      </w:r>
      <w:r w:rsidRPr="006747CF">
        <w:rPr>
          <w:b/>
          <w:bCs/>
        </w:rPr>
        <w:t xml:space="preserve">h the community and clients, </w:t>
      </w:r>
      <w:r w:rsidR="00FE59F3">
        <w:rPr>
          <w:b/>
          <w:bCs/>
        </w:rPr>
        <w:t xml:space="preserve">fund organisations that will </w:t>
      </w:r>
      <w:r w:rsidRPr="006747CF">
        <w:rPr>
          <w:b/>
          <w:bCs/>
        </w:rPr>
        <w:t>provide wrap-around services, and enable small- and medium-sized organisations to apply</w:t>
      </w:r>
      <w:r w:rsidR="00C63BAB">
        <w:t xml:space="preserve"> for the grant</w:t>
      </w:r>
      <w:r w:rsidRPr="00F841FB">
        <w:t xml:space="preserve">. </w:t>
      </w:r>
    </w:p>
    <w:p w14:paraId="0045396C" w14:textId="4C3E6C4B" w:rsidR="00FB15C0" w:rsidRDefault="007F4C91" w:rsidP="00F841FB">
      <w:pPr>
        <w:pStyle w:val="Bulletlist"/>
      </w:pPr>
      <w:r w:rsidRPr="00667B00">
        <w:t>Recur</w:t>
      </w:r>
      <w:r>
        <w:t>ring</w:t>
      </w:r>
      <w:r w:rsidR="00CA0541">
        <w:t xml:space="preserve"> themes</w:t>
      </w:r>
      <w:r w:rsidR="00FB15C0">
        <w:t xml:space="preserve"> </w:t>
      </w:r>
      <w:r w:rsidR="00EA5E74">
        <w:t xml:space="preserve">related to </w:t>
      </w:r>
      <w:r w:rsidR="00FB15C0">
        <w:t>the physical design</w:t>
      </w:r>
      <w:r w:rsidR="00EE73C0">
        <w:t>,</w:t>
      </w:r>
      <w:r w:rsidR="00FB15C0">
        <w:t xml:space="preserve"> cultural features </w:t>
      </w:r>
      <w:r w:rsidR="00FE59F3">
        <w:t xml:space="preserve">and </w:t>
      </w:r>
      <w:r w:rsidR="00FB15C0">
        <w:t>location</w:t>
      </w:r>
      <w:r w:rsidR="00EE73C0">
        <w:t xml:space="preserve"> of emergency accommodation</w:t>
      </w:r>
      <w:r w:rsidR="00FE59F3">
        <w:t xml:space="preserve">; </w:t>
      </w:r>
      <w:r w:rsidR="00FB15C0">
        <w:t>service</w:t>
      </w:r>
      <w:r w:rsidR="00FE59F3">
        <w:t xml:space="preserve">s to offer </w:t>
      </w:r>
      <w:r w:rsidR="00EE73C0">
        <w:t>alongside accommodation</w:t>
      </w:r>
      <w:r w:rsidR="00FE59F3">
        <w:t>; the</w:t>
      </w:r>
      <w:r w:rsidR="00FB15C0">
        <w:t xml:space="preserve"> grant </w:t>
      </w:r>
      <w:r w:rsidR="00FE59F3">
        <w:t>assessment process;</w:t>
      </w:r>
      <w:r w:rsidR="00FB15C0">
        <w:t xml:space="preserve"> and</w:t>
      </w:r>
      <w:r w:rsidR="00FE59F3">
        <w:t xml:space="preserve"> grant</w:t>
      </w:r>
      <w:r w:rsidR="00FB15C0">
        <w:t xml:space="preserve"> support </w:t>
      </w:r>
      <w:r w:rsidR="00EE73C0">
        <w:t xml:space="preserve">provided by </w:t>
      </w:r>
      <w:r w:rsidR="003D5788">
        <w:t>DSS</w:t>
      </w:r>
      <w:r w:rsidR="00EA5E74">
        <w:t>. These</w:t>
      </w:r>
      <w:r w:rsidR="00EE73C0">
        <w:t xml:space="preserve"> </w:t>
      </w:r>
      <w:r w:rsidR="00FB15C0">
        <w:t xml:space="preserve">are outlined in </w:t>
      </w:r>
      <w:r w:rsidR="00EE73C0">
        <w:fldChar w:fldCharType="begin"/>
      </w:r>
      <w:r w:rsidR="00EE73C0">
        <w:instrText xml:space="preserve"> REF _Ref131497141 \h </w:instrText>
      </w:r>
      <w:r w:rsidR="00EE73C0">
        <w:fldChar w:fldCharType="separate"/>
      </w:r>
      <w:r w:rsidR="007A3383">
        <w:t xml:space="preserve">Table </w:t>
      </w:r>
      <w:r w:rsidR="007A3383">
        <w:rPr>
          <w:noProof/>
        </w:rPr>
        <w:t>3</w:t>
      </w:r>
      <w:r w:rsidR="00EE73C0">
        <w:fldChar w:fldCharType="end"/>
      </w:r>
      <w:r w:rsidR="00EE73C0">
        <w:t xml:space="preserve"> </w:t>
      </w:r>
      <w:r w:rsidR="00FB15C0">
        <w:t xml:space="preserve">below. </w:t>
      </w:r>
    </w:p>
    <w:p w14:paraId="7AB88E44" w14:textId="3C210B2F" w:rsidR="00EE73C0" w:rsidRDefault="00EE73C0" w:rsidP="000835D9">
      <w:pPr>
        <w:pStyle w:val="TableFigureChartTitle"/>
      </w:pPr>
      <w:bookmarkStart w:id="10" w:name="_Ref131497141"/>
      <w:bookmarkStart w:id="11" w:name="_Toc147910421"/>
      <w:r>
        <w:t xml:space="preserve">Table </w:t>
      </w:r>
      <w:r w:rsidR="004D727B">
        <w:fldChar w:fldCharType="begin"/>
      </w:r>
      <w:r w:rsidR="004D727B">
        <w:instrText xml:space="preserve"> SEQ Table \* ARABIC </w:instrText>
      </w:r>
      <w:r w:rsidR="004D727B">
        <w:fldChar w:fldCharType="separate"/>
      </w:r>
      <w:r w:rsidR="00F37F7B">
        <w:rPr>
          <w:noProof/>
        </w:rPr>
        <w:t>3</w:t>
      </w:r>
      <w:r w:rsidR="004D727B">
        <w:rPr>
          <w:noProof/>
        </w:rPr>
        <w:fldChar w:fldCharType="end"/>
      </w:r>
      <w:bookmarkEnd w:id="10"/>
      <w:r>
        <w:t xml:space="preserve">: </w:t>
      </w:r>
      <w:r w:rsidR="003D4F60">
        <w:t>C</w:t>
      </w:r>
      <w:r w:rsidR="007F4C91">
        <w:t>onsultation themes</w:t>
      </w:r>
      <w:bookmarkEnd w:id="11"/>
    </w:p>
    <w:tbl>
      <w:tblPr>
        <w:tblStyle w:val="PeakboundTable"/>
        <w:tblW w:w="9214" w:type="dxa"/>
        <w:tblLook w:val="04A0" w:firstRow="1" w:lastRow="0" w:firstColumn="1" w:lastColumn="0" w:noHBand="0" w:noVBand="1"/>
        <w:tblCaption w:val="Table 3: Consultation themes"/>
        <w:tblDescription w:val="Table showing recurring themes related to the physical design, cultural features and location of emergency accommodation; services to offer alongside accommodation; the grant assessment process; and grant support provided by DSS."/>
      </w:tblPr>
      <w:tblGrid>
        <w:gridCol w:w="2268"/>
        <w:gridCol w:w="6946"/>
      </w:tblGrid>
      <w:tr w:rsidR="002E7235" w14:paraId="67E8CFC6" w14:textId="77777777" w:rsidTr="00107DE9">
        <w:trPr>
          <w:cnfStyle w:val="100000000000" w:firstRow="1" w:lastRow="0" w:firstColumn="0" w:lastColumn="0" w:oddVBand="0" w:evenVBand="0" w:oddHBand="0" w:evenHBand="0" w:firstRowFirstColumn="0" w:firstRowLastColumn="0" w:lastRowFirstColumn="0" w:lastRowLastColumn="0"/>
          <w:cantSplit/>
          <w:trHeight w:val="70"/>
          <w:tblHeader/>
        </w:trPr>
        <w:tc>
          <w:tcPr>
            <w:tcW w:w="2268" w:type="dxa"/>
          </w:tcPr>
          <w:p w14:paraId="1536C317" w14:textId="153803D5" w:rsidR="002E7235" w:rsidRDefault="00107DE9" w:rsidP="00AE65D5">
            <w:pPr>
              <w:pStyle w:val="Bulletlist"/>
              <w:numPr>
                <w:ilvl w:val="0"/>
                <w:numId w:val="0"/>
              </w:numPr>
            </w:pPr>
            <w:r>
              <w:t xml:space="preserve"> </w:t>
            </w:r>
          </w:p>
        </w:tc>
        <w:tc>
          <w:tcPr>
            <w:tcW w:w="6946" w:type="dxa"/>
          </w:tcPr>
          <w:p w14:paraId="70E6F8EF" w14:textId="45E48542" w:rsidR="002E7235" w:rsidRPr="00FB15C0" w:rsidRDefault="007F4C91">
            <w:pPr>
              <w:pStyle w:val="TableHeading"/>
              <w:rPr>
                <w:b/>
                <w:bCs/>
              </w:rPr>
            </w:pPr>
            <w:r>
              <w:rPr>
                <w:b/>
                <w:bCs/>
              </w:rPr>
              <w:t>Recurring themes from consultation</w:t>
            </w:r>
          </w:p>
        </w:tc>
      </w:tr>
      <w:tr w:rsidR="002E7235" w14:paraId="0922E47B" w14:textId="77777777" w:rsidTr="00107DE9">
        <w:trPr>
          <w:cnfStyle w:val="000000100000" w:firstRow="0" w:lastRow="0" w:firstColumn="0" w:lastColumn="0" w:oddVBand="0" w:evenVBand="0" w:oddHBand="1" w:evenHBand="0" w:firstRowFirstColumn="0" w:firstRowLastColumn="0" w:lastRowFirstColumn="0" w:lastRowLastColumn="0"/>
          <w:cantSplit/>
        </w:trPr>
        <w:tc>
          <w:tcPr>
            <w:tcW w:w="2268" w:type="dxa"/>
          </w:tcPr>
          <w:p w14:paraId="6977CEF2" w14:textId="77777777" w:rsidR="0010779D" w:rsidRDefault="002E7235" w:rsidP="00FB15C0">
            <w:pPr>
              <w:pStyle w:val="TableHeading"/>
              <w:rPr>
                <w:b/>
                <w:bCs/>
              </w:rPr>
            </w:pPr>
            <w:r w:rsidRPr="00FB15C0">
              <w:rPr>
                <w:b/>
                <w:bCs/>
              </w:rPr>
              <w:t>Physical design</w:t>
            </w:r>
          </w:p>
          <w:p w14:paraId="344B08F5" w14:textId="77777777" w:rsidR="002E7235" w:rsidRPr="0010779D" w:rsidRDefault="002E7235" w:rsidP="00FB15C0">
            <w:pPr>
              <w:pStyle w:val="TableHeading"/>
            </w:pPr>
          </w:p>
        </w:tc>
        <w:tc>
          <w:tcPr>
            <w:tcW w:w="6946" w:type="dxa"/>
          </w:tcPr>
          <w:p w14:paraId="3DA38030" w14:textId="77777777" w:rsidR="0010779D" w:rsidRPr="00A90C6D" w:rsidRDefault="00796BCE" w:rsidP="00D91AC6">
            <w:pPr>
              <w:pStyle w:val="Tabletext"/>
              <w:rPr>
                <w:sz w:val="20"/>
                <w:szCs w:val="20"/>
              </w:rPr>
            </w:pPr>
            <w:r w:rsidRPr="00A90C6D">
              <w:rPr>
                <w:sz w:val="20"/>
                <w:szCs w:val="20"/>
              </w:rPr>
              <w:t xml:space="preserve">The grant opportunity </w:t>
            </w:r>
            <w:r w:rsidR="0010779D" w:rsidRPr="00A90C6D">
              <w:rPr>
                <w:sz w:val="20"/>
                <w:szCs w:val="20"/>
              </w:rPr>
              <w:t>should encourage:</w:t>
            </w:r>
          </w:p>
          <w:p w14:paraId="44797B77" w14:textId="7AFFDAC3" w:rsidR="00FB15C0" w:rsidRPr="00A90C6D" w:rsidRDefault="001343FB" w:rsidP="00D91AC6">
            <w:pPr>
              <w:pStyle w:val="Tabletext"/>
              <w:numPr>
                <w:ilvl w:val="0"/>
                <w:numId w:val="43"/>
              </w:numPr>
              <w:rPr>
                <w:sz w:val="20"/>
                <w:szCs w:val="20"/>
              </w:rPr>
            </w:pPr>
            <w:r w:rsidRPr="00A90C6D">
              <w:rPr>
                <w:sz w:val="20"/>
                <w:szCs w:val="20"/>
              </w:rPr>
              <w:t>private dwellings</w:t>
            </w:r>
          </w:p>
          <w:p w14:paraId="03826FC2" w14:textId="588D2F50" w:rsidR="00FB15C0" w:rsidRPr="00A90C6D" w:rsidRDefault="001343FB" w:rsidP="00D91AC6">
            <w:pPr>
              <w:pStyle w:val="Tabletext"/>
              <w:numPr>
                <w:ilvl w:val="0"/>
                <w:numId w:val="43"/>
              </w:numPr>
              <w:rPr>
                <w:sz w:val="20"/>
                <w:szCs w:val="20"/>
              </w:rPr>
            </w:pPr>
            <w:r w:rsidRPr="00A90C6D">
              <w:rPr>
                <w:sz w:val="20"/>
                <w:szCs w:val="20"/>
              </w:rPr>
              <w:t>mix of bedroom numbers and sizes</w:t>
            </w:r>
          </w:p>
          <w:p w14:paraId="3E060BB1" w14:textId="79DBCE2D" w:rsidR="00FB15C0" w:rsidRPr="00A90C6D" w:rsidRDefault="001343FB" w:rsidP="00D91AC6">
            <w:pPr>
              <w:pStyle w:val="Tabletext"/>
              <w:numPr>
                <w:ilvl w:val="0"/>
                <w:numId w:val="43"/>
              </w:numPr>
              <w:rPr>
                <w:sz w:val="20"/>
                <w:szCs w:val="20"/>
              </w:rPr>
            </w:pPr>
            <w:r w:rsidRPr="00A90C6D">
              <w:rPr>
                <w:sz w:val="20"/>
                <w:szCs w:val="20"/>
              </w:rPr>
              <w:t>safety and security features</w:t>
            </w:r>
          </w:p>
          <w:p w14:paraId="08FB5135" w14:textId="06A8517D" w:rsidR="00FB15C0" w:rsidRPr="00A90C6D" w:rsidRDefault="001343FB" w:rsidP="00D91AC6">
            <w:pPr>
              <w:pStyle w:val="Tabletext"/>
              <w:numPr>
                <w:ilvl w:val="0"/>
                <w:numId w:val="43"/>
              </w:numPr>
              <w:rPr>
                <w:sz w:val="20"/>
                <w:szCs w:val="20"/>
              </w:rPr>
            </w:pPr>
            <w:r w:rsidRPr="00A90C6D">
              <w:rPr>
                <w:sz w:val="20"/>
                <w:szCs w:val="20"/>
              </w:rPr>
              <w:t>communal gardens</w:t>
            </w:r>
          </w:p>
          <w:p w14:paraId="2C6711CE" w14:textId="79B982FB" w:rsidR="00FB15C0" w:rsidRPr="00A90C6D" w:rsidRDefault="001343FB" w:rsidP="00D91AC6">
            <w:pPr>
              <w:pStyle w:val="Tabletext"/>
              <w:numPr>
                <w:ilvl w:val="0"/>
                <w:numId w:val="43"/>
              </w:numPr>
              <w:rPr>
                <w:sz w:val="20"/>
                <w:szCs w:val="20"/>
              </w:rPr>
            </w:pPr>
            <w:r w:rsidRPr="00A90C6D">
              <w:rPr>
                <w:sz w:val="20"/>
                <w:szCs w:val="20"/>
              </w:rPr>
              <w:t>accessible design.</w:t>
            </w:r>
          </w:p>
        </w:tc>
      </w:tr>
      <w:tr w:rsidR="002E7235" w14:paraId="686FE39D" w14:textId="77777777" w:rsidTr="00107DE9">
        <w:trPr>
          <w:cantSplit/>
        </w:trPr>
        <w:tc>
          <w:tcPr>
            <w:tcW w:w="2268" w:type="dxa"/>
          </w:tcPr>
          <w:p w14:paraId="1AA3F197" w14:textId="77777777" w:rsidR="0010779D" w:rsidRPr="0010779D" w:rsidRDefault="002E7235" w:rsidP="00FB15C0">
            <w:pPr>
              <w:pStyle w:val="TableHeading"/>
              <w:rPr>
                <w:b/>
                <w:bCs/>
              </w:rPr>
            </w:pPr>
            <w:r w:rsidRPr="00FB15C0">
              <w:rPr>
                <w:b/>
                <w:bCs/>
              </w:rPr>
              <w:t xml:space="preserve">Cultural </w:t>
            </w:r>
            <w:r w:rsidR="00FB15C0" w:rsidRPr="00FB15C0">
              <w:rPr>
                <w:b/>
                <w:bCs/>
              </w:rPr>
              <w:t>features</w:t>
            </w:r>
          </w:p>
        </w:tc>
        <w:tc>
          <w:tcPr>
            <w:tcW w:w="6946" w:type="dxa"/>
          </w:tcPr>
          <w:p w14:paraId="1E77FC75" w14:textId="77777777" w:rsidR="0010779D" w:rsidRPr="00A90C6D" w:rsidRDefault="008B4E77" w:rsidP="00D91AC6">
            <w:pPr>
              <w:pStyle w:val="Tabletext"/>
              <w:rPr>
                <w:sz w:val="20"/>
                <w:szCs w:val="20"/>
              </w:rPr>
            </w:pPr>
            <w:r w:rsidRPr="00A90C6D">
              <w:rPr>
                <w:sz w:val="20"/>
                <w:szCs w:val="20"/>
              </w:rPr>
              <w:t xml:space="preserve">The grant opportunity </w:t>
            </w:r>
            <w:r w:rsidR="0010779D" w:rsidRPr="00A90C6D">
              <w:rPr>
                <w:sz w:val="20"/>
                <w:szCs w:val="20"/>
              </w:rPr>
              <w:t>should encourage:</w:t>
            </w:r>
          </w:p>
          <w:p w14:paraId="7C1CDCBB" w14:textId="120321DB" w:rsidR="00FB15C0" w:rsidRPr="00A90C6D" w:rsidRDefault="001343FB" w:rsidP="00D91AC6">
            <w:pPr>
              <w:pStyle w:val="Tabletext"/>
              <w:numPr>
                <w:ilvl w:val="0"/>
                <w:numId w:val="43"/>
              </w:numPr>
              <w:rPr>
                <w:sz w:val="20"/>
                <w:szCs w:val="20"/>
              </w:rPr>
            </w:pPr>
            <w:r w:rsidRPr="00A90C6D">
              <w:rPr>
                <w:sz w:val="20"/>
                <w:szCs w:val="20"/>
              </w:rPr>
              <w:t>prayer spaces</w:t>
            </w:r>
          </w:p>
          <w:p w14:paraId="7A4CF607" w14:textId="4F470385" w:rsidR="00FB15C0" w:rsidRPr="00A90C6D" w:rsidRDefault="001343FB" w:rsidP="00D91AC6">
            <w:pPr>
              <w:pStyle w:val="Tabletext"/>
              <w:numPr>
                <w:ilvl w:val="0"/>
                <w:numId w:val="43"/>
              </w:numPr>
              <w:rPr>
                <w:sz w:val="20"/>
                <w:szCs w:val="20"/>
              </w:rPr>
            </w:pPr>
            <w:r w:rsidRPr="00A90C6D">
              <w:rPr>
                <w:sz w:val="20"/>
                <w:szCs w:val="20"/>
              </w:rPr>
              <w:t>cultural spaces</w:t>
            </w:r>
          </w:p>
          <w:p w14:paraId="758773BC" w14:textId="5CE2DBE1" w:rsidR="00FB15C0" w:rsidRPr="00A90C6D" w:rsidRDefault="001343FB" w:rsidP="00D91AC6">
            <w:pPr>
              <w:pStyle w:val="Tabletext"/>
              <w:numPr>
                <w:ilvl w:val="0"/>
                <w:numId w:val="43"/>
              </w:numPr>
              <w:rPr>
                <w:sz w:val="20"/>
                <w:szCs w:val="20"/>
              </w:rPr>
            </w:pPr>
            <w:r w:rsidRPr="00A90C6D">
              <w:rPr>
                <w:sz w:val="20"/>
                <w:szCs w:val="20"/>
              </w:rPr>
              <w:t>private kitchens.</w:t>
            </w:r>
          </w:p>
        </w:tc>
      </w:tr>
      <w:tr w:rsidR="002E7235" w14:paraId="095D335E" w14:textId="77777777" w:rsidTr="00107DE9">
        <w:trPr>
          <w:cnfStyle w:val="000000100000" w:firstRow="0" w:lastRow="0" w:firstColumn="0" w:lastColumn="0" w:oddVBand="0" w:evenVBand="0" w:oddHBand="1" w:evenHBand="0" w:firstRowFirstColumn="0" w:firstRowLastColumn="0" w:lastRowFirstColumn="0" w:lastRowLastColumn="0"/>
          <w:cantSplit/>
        </w:trPr>
        <w:tc>
          <w:tcPr>
            <w:tcW w:w="2268" w:type="dxa"/>
          </w:tcPr>
          <w:p w14:paraId="277BE2AA" w14:textId="77777777" w:rsidR="0010779D" w:rsidRPr="00FB15C0" w:rsidRDefault="002E7235" w:rsidP="00FB15C0">
            <w:pPr>
              <w:pStyle w:val="TableHeading"/>
              <w:rPr>
                <w:b/>
                <w:bCs/>
              </w:rPr>
            </w:pPr>
            <w:r w:rsidRPr="00FB15C0">
              <w:rPr>
                <w:b/>
                <w:bCs/>
              </w:rPr>
              <w:lastRenderedPageBreak/>
              <w:t>Location</w:t>
            </w:r>
          </w:p>
        </w:tc>
        <w:tc>
          <w:tcPr>
            <w:tcW w:w="6946" w:type="dxa"/>
          </w:tcPr>
          <w:p w14:paraId="56B36B6C" w14:textId="77777777" w:rsidR="0010779D" w:rsidRPr="00A90C6D" w:rsidRDefault="008B4E77" w:rsidP="00D91AC6">
            <w:pPr>
              <w:pStyle w:val="Tabletext"/>
              <w:rPr>
                <w:sz w:val="20"/>
                <w:szCs w:val="20"/>
              </w:rPr>
            </w:pPr>
            <w:r w:rsidRPr="00A90C6D">
              <w:rPr>
                <w:sz w:val="20"/>
                <w:szCs w:val="20"/>
              </w:rPr>
              <w:t xml:space="preserve">The grant opportunity </w:t>
            </w:r>
            <w:r w:rsidR="0010779D" w:rsidRPr="00A90C6D">
              <w:rPr>
                <w:sz w:val="20"/>
                <w:szCs w:val="20"/>
              </w:rPr>
              <w:t xml:space="preserve">should encourage and </w:t>
            </w:r>
            <w:r w:rsidR="00B058FD" w:rsidRPr="00A90C6D">
              <w:rPr>
                <w:sz w:val="20"/>
                <w:szCs w:val="20"/>
              </w:rPr>
              <w:t>prioritise the development of</w:t>
            </w:r>
            <w:r w:rsidR="0010779D" w:rsidRPr="00A90C6D">
              <w:rPr>
                <w:sz w:val="20"/>
                <w:szCs w:val="20"/>
              </w:rPr>
              <w:t xml:space="preserve"> accommodation that is:</w:t>
            </w:r>
          </w:p>
          <w:p w14:paraId="3C2CFC01" w14:textId="37D6B32E" w:rsidR="002E7235" w:rsidRPr="00A90C6D" w:rsidRDefault="001343FB" w:rsidP="00D91AC6">
            <w:pPr>
              <w:pStyle w:val="Tabletext"/>
              <w:numPr>
                <w:ilvl w:val="0"/>
                <w:numId w:val="43"/>
              </w:numPr>
              <w:rPr>
                <w:sz w:val="20"/>
                <w:szCs w:val="20"/>
              </w:rPr>
            </w:pPr>
            <w:r w:rsidRPr="00A90C6D">
              <w:rPr>
                <w:sz w:val="20"/>
                <w:szCs w:val="20"/>
              </w:rPr>
              <w:t>close to shops</w:t>
            </w:r>
          </w:p>
          <w:p w14:paraId="24CC902D" w14:textId="44025D80" w:rsidR="00FB15C0" w:rsidRPr="00A90C6D" w:rsidRDefault="001343FB" w:rsidP="00D91AC6">
            <w:pPr>
              <w:pStyle w:val="Tabletext"/>
              <w:numPr>
                <w:ilvl w:val="0"/>
                <w:numId w:val="43"/>
              </w:numPr>
              <w:rPr>
                <w:sz w:val="20"/>
                <w:szCs w:val="20"/>
              </w:rPr>
            </w:pPr>
            <w:r w:rsidRPr="00A90C6D">
              <w:rPr>
                <w:sz w:val="20"/>
                <w:szCs w:val="20"/>
              </w:rPr>
              <w:t>close to public transport</w:t>
            </w:r>
          </w:p>
          <w:p w14:paraId="56C3D1B5" w14:textId="24B8A511" w:rsidR="00FB15C0" w:rsidRPr="00A90C6D" w:rsidRDefault="001343FB" w:rsidP="00D91AC6">
            <w:pPr>
              <w:pStyle w:val="Tabletext"/>
              <w:numPr>
                <w:ilvl w:val="0"/>
                <w:numId w:val="43"/>
              </w:numPr>
              <w:rPr>
                <w:sz w:val="20"/>
                <w:szCs w:val="20"/>
              </w:rPr>
            </w:pPr>
            <w:r w:rsidRPr="00A90C6D">
              <w:rPr>
                <w:sz w:val="20"/>
                <w:szCs w:val="20"/>
              </w:rPr>
              <w:t>private and off the main street</w:t>
            </w:r>
          </w:p>
          <w:p w14:paraId="3150F1E9" w14:textId="061A3AF5" w:rsidR="00FB15C0" w:rsidRPr="00A90C6D" w:rsidRDefault="001343FB" w:rsidP="00D91AC6">
            <w:pPr>
              <w:pStyle w:val="Tabletext"/>
              <w:numPr>
                <w:ilvl w:val="0"/>
                <w:numId w:val="43"/>
              </w:numPr>
              <w:rPr>
                <w:sz w:val="20"/>
                <w:szCs w:val="20"/>
              </w:rPr>
            </w:pPr>
            <w:r w:rsidRPr="00A90C6D">
              <w:rPr>
                <w:sz w:val="20"/>
                <w:szCs w:val="20"/>
              </w:rPr>
              <w:t>reflec</w:t>
            </w:r>
            <w:r w:rsidR="00B058FD" w:rsidRPr="00A90C6D">
              <w:rPr>
                <w:sz w:val="20"/>
                <w:szCs w:val="20"/>
              </w:rPr>
              <w:t>tive of i</w:t>
            </w:r>
            <w:r w:rsidR="00FB15C0" w:rsidRPr="00A90C6D">
              <w:rPr>
                <w:sz w:val="20"/>
                <w:szCs w:val="20"/>
              </w:rPr>
              <w:t>nput from First Nations leaders and Elders</w:t>
            </w:r>
            <w:r w:rsidRPr="00A90C6D">
              <w:rPr>
                <w:sz w:val="20"/>
                <w:szCs w:val="20"/>
              </w:rPr>
              <w:t>.</w:t>
            </w:r>
          </w:p>
        </w:tc>
      </w:tr>
      <w:tr w:rsidR="002E7235" w14:paraId="46FAFF43" w14:textId="77777777" w:rsidTr="00107DE9">
        <w:trPr>
          <w:cantSplit/>
        </w:trPr>
        <w:tc>
          <w:tcPr>
            <w:tcW w:w="2268" w:type="dxa"/>
          </w:tcPr>
          <w:p w14:paraId="578847B5" w14:textId="77777777" w:rsidR="002E7235" w:rsidRPr="00FB15C0" w:rsidRDefault="002E7235" w:rsidP="00FB15C0">
            <w:pPr>
              <w:pStyle w:val="TableHeading"/>
              <w:rPr>
                <w:b/>
                <w:bCs/>
              </w:rPr>
            </w:pPr>
            <w:r w:rsidRPr="00FB15C0">
              <w:rPr>
                <w:b/>
                <w:bCs/>
              </w:rPr>
              <w:t>Services</w:t>
            </w:r>
          </w:p>
        </w:tc>
        <w:tc>
          <w:tcPr>
            <w:tcW w:w="6946" w:type="dxa"/>
          </w:tcPr>
          <w:p w14:paraId="2233CB30" w14:textId="77777777" w:rsidR="0010779D" w:rsidRPr="00A90C6D" w:rsidRDefault="008B4E77" w:rsidP="00D91AC6">
            <w:pPr>
              <w:pStyle w:val="Tabletext"/>
              <w:rPr>
                <w:sz w:val="20"/>
                <w:szCs w:val="20"/>
              </w:rPr>
            </w:pPr>
            <w:r w:rsidRPr="00A90C6D">
              <w:rPr>
                <w:sz w:val="20"/>
                <w:szCs w:val="20"/>
              </w:rPr>
              <w:t xml:space="preserve">The grant opportunity </w:t>
            </w:r>
            <w:r w:rsidR="0010779D" w:rsidRPr="00A90C6D">
              <w:rPr>
                <w:sz w:val="20"/>
                <w:szCs w:val="20"/>
              </w:rPr>
              <w:t>should ensure organisations prioritise:</w:t>
            </w:r>
          </w:p>
          <w:p w14:paraId="3806C183" w14:textId="6AD90140" w:rsidR="00EE73C0" w:rsidRPr="00A90C6D" w:rsidRDefault="001343FB" w:rsidP="00D91AC6">
            <w:pPr>
              <w:pStyle w:val="Tabletext"/>
              <w:numPr>
                <w:ilvl w:val="0"/>
                <w:numId w:val="43"/>
              </w:numPr>
              <w:rPr>
                <w:sz w:val="20"/>
                <w:szCs w:val="20"/>
              </w:rPr>
            </w:pPr>
            <w:r w:rsidRPr="00A90C6D">
              <w:rPr>
                <w:sz w:val="20"/>
                <w:szCs w:val="20"/>
              </w:rPr>
              <w:t>offeri</w:t>
            </w:r>
            <w:r w:rsidR="00B058FD" w:rsidRPr="00A90C6D">
              <w:rPr>
                <w:sz w:val="20"/>
                <w:szCs w:val="20"/>
              </w:rPr>
              <w:t>ng women and children</w:t>
            </w:r>
            <w:r w:rsidR="00EE73C0" w:rsidRPr="00A90C6D">
              <w:rPr>
                <w:sz w:val="20"/>
                <w:szCs w:val="20"/>
              </w:rPr>
              <w:t xml:space="preserve"> choice in accessing services in</w:t>
            </w:r>
            <w:r w:rsidR="000A74E9" w:rsidRPr="00A90C6D">
              <w:rPr>
                <w:sz w:val="20"/>
                <w:szCs w:val="20"/>
              </w:rPr>
              <w:t xml:space="preserve"> </w:t>
            </w:r>
            <w:r w:rsidR="00EE73C0" w:rsidRPr="00A90C6D">
              <w:rPr>
                <w:sz w:val="20"/>
                <w:szCs w:val="20"/>
              </w:rPr>
              <w:t>person or remotely</w:t>
            </w:r>
          </w:p>
          <w:p w14:paraId="763A8698" w14:textId="454F84B8" w:rsidR="002E7235" w:rsidRPr="00A90C6D" w:rsidRDefault="001343FB" w:rsidP="00D91AC6">
            <w:pPr>
              <w:pStyle w:val="Tabletext"/>
              <w:numPr>
                <w:ilvl w:val="0"/>
                <w:numId w:val="43"/>
              </w:numPr>
              <w:rPr>
                <w:sz w:val="20"/>
                <w:szCs w:val="20"/>
              </w:rPr>
            </w:pPr>
            <w:r w:rsidRPr="00A90C6D">
              <w:rPr>
                <w:sz w:val="20"/>
                <w:szCs w:val="20"/>
              </w:rPr>
              <w:t>providing a c</w:t>
            </w:r>
            <w:r w:rsidR="00EE73C0" w:rsidRPr="00A90C6D">
              <w:rPr>
                <w:sz w:val="20"/>
                <w:szCs w:val="20"/>
              </w:rPr>
              <w:t xml:space="preserve">ase worker </w:t>
            </w:r>
            <w:r w:rsidR="008B4E77" w:rsidRPr="00A90C6D">
              <w:rPr>
                <w:sz w:val="20"/>
                <w:szCs w:val="20"/>
              </w:rPr>
              <w:t>for all women and children</w:t>
            </w:r>
          </w:p>
          <w:p w14:paraId="3E4A646A" w14:textId="2C4032AF" w:rsidR="00EE73C0" w:rsidRPr="00A90C6D" w:rsidRDefault="001343FB" w:rsidP="00D91AC6">
            <w:pPr>
              <w:pStyle w:val="Tabletext"/>
              <w:numPr>
                <w:ilvl w:val="0"/>
                <w:numId w:val="43"/>
              </w:numPr>
              <w:rPr>
                <w:sz w:val="20"/>
                <w:szCs w:val="20"/>
              </w:rPr>
            </w:pPr>
            <w:r w:rsidRPr="00A90C6D">
              <w:rPr>
                <w:sz w:val="20"/>
                <w:szCs w:val="20"/>
              </w:rPr>
              <w:t>providing me</w:t>
            </w:r>
            <w:r w:rsidR="00EE73C0" w:rsidRPr="00A90C6D">
              <w:rPr>
                <w:sz w:val="20"/>
                <w:szCs w:val="20"/>
              </w:rPr>
              <w:t>ntal health support</w:t>
            </w:r>
            <w:r w:rsidR="008B4E77" w:rsidRPr="00A90C6D">
              <w:rPr>
                <w:sz w:val="20"/>
                <w:szCs w:val="20"/>
              </w:rPr>
              <w:t xml:space="preserve"> for all women and children</w:t>
            </w:r>
            <w:r w:rsidRPr="00A90C6D">
              <w:rPr>
                <w:sz w:val="20"/>
                <w:szCs w:val="20"/>
              </w:rPr>
              <w:t>.</w:t>
            </w:r>
          </w:p>
        </w:tc>
      </w:tr>
      <w:tr w:rsidR="002E7235" w14:paraId="6361CDB8" w14:textId="77777777" w:rsidTr="00107DE9">
        <w:trPr>
          <w:cnfStyle w:val="000000100000" w:firstRow="0" w:lastRow="0" w:firstColumn="0" w:lastColumn="0" w:oddVBand="0" w:evenVBand="0" w:oddHBand="1" w:evenHBand="0" w:firstRowFirstColumn="0" w:firstRowLastColumn="0" w:lastRowFirstColumn="0" w:lastRowLastColumn="0"/>
          <w:cantSplit/>
        </w:trPr>
        <w:tc>
          <w:tcPr>
            <w:tcW w:w="2268" w:type="dxa"/>
          </w:tcPr>
          <w:p w14:paraId="261F957E" w14:textId="77777777" w:rsidR="002E7235" w:rsidRPr="00FB15C0" w:rsidRDefault="002E7235" w:rsidP="00FB15C0">
            <w:pPr>
              <w:pStyle w:val="TableHeading"/>
              <w:rPr>
                <w:b/>
                <w:bCs/>
              </w:rPr>
            </w:pPr>
            <w:r w:rsidRPr="00FB15C0">
              <w:rPr>
                <w:b/>
                <w:bCs/>
              </w:rPr>
              <w:t>Grant assessment</w:t>
            </w:r>
          </w:p>
        </w:tc>
        <w:tc>
          <w:tcPr>
            <w:tcW w:w="6946" w:type="dxa"/>
          </w:tcPr>
          <w:p w14:paraId="24B6C8AF" w14:textId="77777777" w:rsidR="0010779D" w:rsidRPr="00A90C6D" w:rsidRDefault="008B4E77" w:rsidP="00D91AC6">
            <w:pPr>
              <w:pStyle w:val="Tabletext"/>
              <w:rPr>
                <w:sz w:val="20"/>
                <w:szCs w:val="20"/>
              </w:rPr>
            </w:pPr>
            <w:r w:rsidRPr="00A90C6D">
              <w:rPr>
                <w:sz w:val="20"/>
                <w:szCs w:val="20"/>
              </w:rPr>
              <w:t xml:space="preserve">In applications, </w:t>
            </w:r>
            <w:r w:rsidR="0010779D" w:rsidRPr="00A90C6D">
              <w:rPr>
                <w:sz w:val="20"/>
                <w:szCs w:val="20"/>
              </w:rPr>
              <w:t>DSS should look for:</w:t>
            </w:r>
          </w:p>
          <w:p w14:paraId="133DA71C" w14:textId="33AEBCFF" w:rsidR="002E7235" w:rsidRPr="00A90C6D" w:rsidRDefault="001343FB" w:rsidP="00D91AC6">
            <w:pPr>
              <w:pStyle w:val="Tabletext"/>
              <w:numPr>
                <w:ilvl w:val="0"/>
                <w:numId w:val="43"/>
              </w:numPr>
              <w:rPr>
                <w:sz w:val="20"/>
                <w:szCs w:val="20"/>
              </w:rPr>
            </w:pPr>
            <w:r w:rsidRPr="00A90C6D">
              <w:rPr>
                <w:sz w:val="20"/>
                <w:szCs w:val="20"/>
              </w:rPr>
              <w:t>demonstrated understanding of local needs</w:t>
            </w:r>
          </w:p>
          <w:p w14:paraId="3F40A63A" w14:textId="0D9ABDB2" w:rsidR="001E7C25" w:rsidRPr="00A90C6D" w:rsidRDefault="001343FB" w:rsidP="00D91AC6">
            <w:pPr>
              <w:pStyle w:val="Tabletext"/>
              <w:numPr>
                <w:ilvl w:val="0"/>
                <w:numId w:val="43"/>
              </w:numPr>
              <w:rPr>
                <w:sz w:val="20"/>
                <w:szCs w:val="20"/>
              </w:rPr>
            </w:pPr>
            <w:r w:rsidRPr="00A90C6D">
              <w:rPr>
                <w:sz w:val="20"/>
                <w:szCs w:val="20"/>
              </w:rPr>
              <w:t>meaningful links to the communities they serve or partnerships with other community organisations</w:t>
            </w:r>
          </w:p>
          <w:p w14:paraId="2E35DCBB" w14:textId="4DDA801A" w:rsidR="001E7C25" w:rsidRPr="00A90C6D" w:rsidRDefault="001343FB" w:rsidP="00D91AC6">
            <w:pPr>
              <w:pStyle w:val="Tabletext"/>
              <w:numPr>
                <w:ilvl w:val="0"/>
                <w:numId w:val="43"/>
              </w:numPr>
              <w:rPr>
                <w:sz w:val="20"/>
                <w:szCs w:val="20"/>
              </w:rPr>
            </w:pPr>
            <w:r w:rsidRPr="00A90C6D">
              <w:rPr>
                <w:sz w:val="20"/>
                <w:szCs w:val="20"/>
              </w:rPr>
              <w:t>c</w:t>
            </w:r>
            <w:r w:rsidR="001E7C25" w:rsidRPr="00A90C6D">
              <w:rPr>
                <w:sz w:val="20"/>
                <w:szCs w:val="20"/>
              </w:rPr>
              <w:t>ulturally safe practices and policies</w:t>
            </w:r>
            <w:r w:rsidRPr="00A90C6D">
              <w:rPr>
                <w:sz w:val="20"/>
                <w:szCs w:val="20"/>
              </w:rPr>
              <w:t>.</w:t>
            </w:r>
          </w:p>
        </w:tc>
      </w:tr>
      <w:tr w:rsidR="002E7235" w14:paraId="676F8EA6" w14:textId="77777777" w:rsidTr="00107DE9">
        <w:trPr>
          <w:cantSplit/>
        </w:trPr>
        <w:tc>
          <w:tcPr>
            <w:tcW w:w="2268" w:type="dxa"/>
          </w:tcPr>
          <w:p w14:paraId="3A1DF93D" w14:textId="77777777" w:rsidR="002E7235" w:rsidRPr="00FB15C0" w:rsidRDefault="002E7235" w:rsidP="00FB15C0">
            <w:pPr>
              <w:pStyle w:val="TableHeading"/>
              <w:rPr>
                <w:b/>
                <w:bCs/>
              </w:rPr>
            </w:pPr>
            <w:r w:rsidRPr="00FB15C0">
              <w:rPr>
                <w:b/>
                <w:bCs/>
              </w:rPr>
              <w:t xml:space="preserve">Grant </w:t>
            </w:r>
            <w:r w:rsidR="00FB15C0" w:rsidRPr="00FB15C0">
              <w:rPr>
                <w:b/>
                <w:bCs/>
              </w:rPr>
              <w:t>support</w:t>
            </w:r>
          </w:p>
        </w:tc>
        <w:tc>
          <w:tcPr>
            <w:tcW w:w="6946" w:type="dxa"/>
          </w:tcPr>
          <w:p w14:paraId="2AEF7A7E" w14:textId="77777777" w:rsidR="008B4E77" w:rsidRPr="00A90C6D" w:rsidRDefault="008B4E77" w:rsidP="00D91AC6">
            <w:pPr>
              <w:pStyle w:val="Tabletext"/>
              <w:rPr>
                <w:sz w:val="20"/>
                <w:szCs w:val="20"/>
              </w:rPr>
            </w:pPr>
            <w:r w:rsidRPr="00A90C6D">
              <w:rPr>
                <w:sz w:val="20"/>
                <w:szCs w:val="20"/>
              </w:rPr>
              <w:t>During application and grant management, DSS should:</w:t>
            </w:r>
          </w:p>
          <w:p w14:paraId="403B0BBD" w14:textId="2211F102" w:rsidR="002E7235" w:rsidRPr="00A90C6D" w:rsidRDefault="001343FB" w:rsidP="00D91AC6">
            <w:pPr>
              <w:pStyle w:val="Tabletext"/>
              <w:numPr>
                <w:ilvl w:val="0"/>
                <w:numId w:val="43"/>
              </w:numPr>
              <w:rPr>
                <w:sz w:val="20"/>
                <w:szCs w:val="20"/>
              </w:rPr>
            </w:pPr>
            <w:r w:rsidRPr="00A90C6D">
              <w:rPr>
                <w:sz w:val="20"/>
                <w:szCs w:val="20"/>
              </w:rPr>
              <w:t>support applicants with workshops</w:t>
            </w:r>
            <w:r w:rsidR="00667B00" w:rsidRPr="00A90C6D">
              <w:rPr>
                <w:sz w:val="20"/>
                <w:szCs w:val="20"/>
              </w:rPr>
              <w:t xml:space="preserve"> or</w:t>
            </w:r>
            <w:r w:rsidRPr="00A90C6D">
              <w:rPr>
                <w:sz w:val="20"/>
                <w:szCs w:val="20"/>
              </w:rPr>
              <w:t xml:space="preserve"> forums during </w:t>
            </w:r>
            <w:r w:rsidR="00667B00" w:rsidRPr="00A90C6D">
              <w:rPr>
                <w:sz w:val="20"/>
                <w:szCs w:val="20"/>
              </w:rPr>
              <w:t xml:space="preserve">the </w:t>
            </w:r>
            <w:r w:rsidRPr="00A90C6D">
              <w:rPr>
                <w:sz w:val="20"/>
                <w:szCs w:val="20"/>
              </w:rPr>
              <w:t>grant application process</w:t>
            </w:r>
          </w:p>
          <w:p w14:paraId="343E34F1" w14:textId="400BFC28" w:rsidR="001C5492" w:rsidRPr="00A90C6D" w:rsidRDefault="001343FB" w:rsidP="00D91AC6">
            <w:pPr>
              <w:pStyle w:val="Tabletext"/>
              <w:numPr>
                <w:ilvl w:val="0"/>
                <w:numId w:val="43"/>
              </w:numPr>
              <w:rPr>
                <w:sz w:val="20"/>
                <w:szCs w:val="20"/>
              </w:rPr>
            </w:pPr>
            <w:r w:rsidRPr="00A90C6D">
              <w:rPr>
                <w:sz w:val="20"/>
                <w:szCs w:val="20"/>
              </w:rPr>
              <w:t xml:space="preserve">provide additional time and funding for </w:t>
            </w:r>
            <w:r w:rsidR="00481E7D" w:rsidRPr="00A90C6D">
              <w:rPr>
                <w:sz w:val="20"/>
                <w:szCs w:val="20"/>
              </w:rPr>
              <w:t xml:space="preserve">preparing the </w:t>
            </w:r>
            <w:r w:rsidRPr="00A90C6D">
              <w:rPr>
                <w:sz w:val="20"/>
                <w:szCs w:val="20"/>
              </w:rPr>
              <w:t>application</w:t>
            </w:r>
          </w:p>
          <w:p w14:paraId="5181CEE0" w14:textId="262C6E4F" w:rsidR="001C5492" w:rsidRPr="00A90C6D" w:rsidRDefault="001343FB" w:rsidP="00D91AC6">
            <w:pPr>
              <w:pStyle w:val="Tabletext"/>
              <w:numPr>
                <w:ilvl w:val="0"/>
                <w:numId w:val="43"/>
              </w:numPr>
              <w:rPr>
                <w:sz w:val="20"/>
                <w:szCs w:val="20"/>
              </w:rPr>
            </w:pPr>
            <w:r w:rsidRPr="00A90C6D">
              <w:rPr>
                <w:sz w:val="20"/>
                <w:szCs w:val="20"/>
              </w:rPr>
              <w:t xml:space="preserve">provide staff from successful grantee organisations </w:t>
            </w:r>
            <w:r w:rsidR="00481E7D" w:rsidRPr="00A90C6D">
              <w:rPr>
                <w:sz w:val="20"/>
                <w:szCs w:val="20"/>
              </w:rPr>
              <w:t xml:space="preserve">with </w:t>
            </w:r>
            <w:r w:rsidRPr="00A90C6D">
              <w:rPr>
                <w:sz w:val="20"/>
                <w:szCs w:val="20"/>
              </w:rPr>
              <w:t xml:space="preserve">training in grant management </w:t>
            </w:r>
          </w:p>
          <w:p w14:paraId="7BEA5298" w14:textId="25579DD7" w:rsidR="001C5492" w:rsidRPr="00A90C6D" w:rsidRDefault="001343FB" w:rsidP="00D91AC6">
            <w:pPr>
              <w:pStyle w:val="Tabletext"/>
              <w:numPr>
                <w:ilvl w:val="0"/>
                <w:numId w:val="43"/>
              </w:numPr>
              <w:rPr>
                <w:sz w:val="20"/>
                <w:szCs w:val="20"/>
              </w:rPr>
            </w:pPr>
            <w:r w:rsidRPr="00A90C6D">
              <w:rPr>
                <w:sz w:val="20"/>
                <w:szCs w:val="20"/>
              </w:rPr>
              <w:t>pr</w:t>
            </w:r>
            <w:r w:rsidR="001C5492" w:rsidRPr="00A90C6D">
              <w:rPr>
                <w:sz w:val="20"/>
                <w:szCs w:val="20"/>
              </w:rPr>
              <w:t>ovid</w:t>
            </w:r>
            <w:r w:rsidR="008B4E77" w:rsidRPr="00A90C6D">
              <w:rPr>
                <w:sz w:val="20"/>
                <w:szCs w:val="20"/>
              </w:rPr>
              <w:t>e and facilitate</w:t>
            </w:r>
            <w:r w:rsidR="001C5492" w:rsidRPr="00A90C6D">
              <w:rPr>
                <w:sz w:val="20"/>
                <w:szCs w:val="20"/>
              </w:rPr>
              <w:t xml:space="preserve"> connections to </w:t>
            </w:r>
            <w:r w:rsidR="00B058FD" w:rsidRPr="00A90C6D">
              <w:rPr>
                <w:sz w:val="20"/>
                <w:szCs w:val="20"/>
              </w:rPr>
              <w:t xml:space="preserve">housing construction </w:t>
            </w:r>
            <w:r w:rsidR="001C5492" w:rsidRPr="00A90C6D">
              <w:rPr>
                <w:sz w:val="20"/>
                <w:szCs w:val="20"/>
              </w:rPr>
              <w:t>partners</w:t>
            </w:r>
            <w:r w:rsidR="00B058FD" w:rsidRPr="00A90C6D">
              <w:rPr>
                <w:sz w:val="20"/>
                <w:szCs w:val="20"/>
              </w:rPr>
              <w:t>, e.g., builders</w:t>
            </w:r>
            <w:r w:rsidR="00481E7D" w:rsidRPr="00A90C6D">
              <w:rPr>
                <w:sz w:val="20"/>
                <w:szCs w:val="20"/>
              </w:rPr>
              <w:t xml:space="preserve"> or</w:t>
            </w:r>
            <w:r w:rsidR="00B058FD" w:rsidRPr="00A90C6D">
              <w:rPr>
                <w:sz w:val="20"/>
                <w:szCs w:val="20"/>
              </w:rPr>
              <w:t xml:space="preserve"> designers</w:t>
            </w:r>
            <w:r w:rsidR="00481E7D" w:rsidRPr="00A90C6D">
              <w:rPr>
                <w:sz w:val="20"/>
                <w:szCs w:val="20"/>
              </w:rPr>
              <w:t>.</w:t>
            </w:r>
          </w:p>
        </w:tc>
      </w:tr>
    </w:tbl>
    <w:p w14:paraId="3DC052D7" w14:textId="77777777" w:rsidR="00E67AC2" w:rsidRPr="009D0A21" w:rsidRDefault="00E67AC2" w:rsidP="00BE45ED">
      <w:pPr>
        <w:spacing w:after="0" w:line="240" w:lineRule="auto"/>
      </w:pPr>
    </w:p>
    <w:p w14:paraId="1636E876" w14:textId="77777777" w:rsidR="00614B93" w:rsidRDefault="0090046B" w:rsidP="0090046B">
      <w:pPr>
        <w:pStyle w:val="Heading1"/>
      </w:pPr>
      <w:bookmarkStart w:id="12" w:name="_Toc147910394"/>
      <w:r>
        <w:lastRenderedPageBreak/>
        <w:t>Introduction</w:t>
      </w:r>
      <w:bookmarkEnd w:id="12"/>
    </w:p>
    <w:p w14:paraId="5380AEFD" w14:textId="240437C2" w:rsidR="00E81250" w:rsidRDefault="00C816EE" w:rsidP="00E81250">
      <w:r>
        <w:t>The</w:t>
      </w:r>
      <w:r w:rsidR="00E81250">
        <w:t xml:space="preserve"> Australian Government has made a commitment of $100 million over 5 years (2022-</w:t>
      </w:r>
      <w:r w:rsidR="002F1BD0">
        <w:t>2</w:t>
      </w:r>
      <w:r w:rsidR="00E81250">
        <w:t xml:space="preserve">3 to 2026-27) to the Safe Places Emergency Accommodation Program (Safe Places), via an Inclusion Round of capital works investment that will fund the building, renovation or purchase of new emergency accommodation for women and children leaving domestic and family violence. </w:t>
      </w:r>
      <w:r w:rsidR="000C4887">
        <w:t>T</w:t>
      </w:r>
      <w:r w:rsidR="00E81250">
        <w:t>he Inclusion R</w:t>
      </w:r>
      <w:r w:rsidR="00E81250" w:rsidRPr="009520FF">
        <w:t xml:space="preserve">ound </w:t>
      </w:r>
      <w:r w:rsidR="00660DDA">
        <w:t>will</w:t>
      </w:r>
      <w:r w:rsidR="00E81250" w:rsidRPr="009520FF">
        <w:t xml:space="preserve"> focus on</w:t>
      </w:r>
      <w:r w:rsidR="00E81250">
        <w:t xml:space="preserve"> improving access to emergency accommodatio</w:t>
      </w:r>
      <w:r w:rsidR="00E81250" w:rsidRPr="00660DDA">
        <w:t>n for women</w:t>
      </w:r>
      <w:r w:rsidR="00E81250">
        <w:t xml:space="preserve"> and children from</w:t>
      </w:r>
      <w:r w:rsidR="00347FA1">
        <w:t xml:space="preserve"> c</w:t>
      </w:r>
      <w:r w:rsidR="00E81250">
        <w:t xml:space="preserve">ulturally and </w:t>
      </w:r>
      <w:r w:rsidR="00347FA1">
        <w:t>l</w:t>
      </w:r>
      <w:r w:rsidR="00E81250">
        <w:t xml:space="preserve">inguistically </w:t>
      </w:r>
      <w:r w:rsidR="00347FA1">
        <w:t>d</w:t>
      </w:r>
      <w:r w:rsidR="00E81250">
        <w:t xml:space="preserve">iverse (CALD) and </w:t>
      </w:r>
      <w:r w:rsidR="00D96A55">
        <w:t>First Nations</w:t>
      </w:r>
      <w:r w:rsidR="00E81250">
        <w:t xml:space="preserve"> backgrounds, </w:t>
      </w:r>
      <w:r w:rsidR="003676FF">
        <w:t>and</w:t>
      </w:r>
      <w:r w:rsidR="00E81250">
        <w:t xml:space="preserve"> women and children with disability. </w:t>
      </w:r>
    </w:p>
    <w:p w14:paraId="0AC5FBA0" w14:textId="5F71405B" w:rsidR="00E81250" w:rsidRDefault="000C4887" w:rsidP="00E81250">
      <w:r w:rsidRPr="00660DDA">
        <w:t>The</w:t>
      </w:r>
      <w:r w:rsidR="00E81250" w:rsidRPr="00660DDA">
        <w:t xml:space="preserve"> Department of Social Services (DSS) has enlisted CIRCA to </w:t>
      </w:r>
      <w:r w:rsidR="00660DDA">
        <w:t xml:space="preserve">identify the accessibility and cultural needs of these cohorts </w:t>
      </w:r>
      <w:r w:rsidR="003E5BBB">
        <w:t>by</w:t>
      </w:r>
      <w:r w:rsidR="00660DDA">
        <w:t xml:space="preserve"> </w:t>
      </w:r>
      <w:r w:rsidR="00E81250" w:rsidRPr="00660DDA">
        <w:t>consult</w:t>
      </w:r>
      <w:r w:rsidR="00660DDA">
        <w:t>ing</w:t>
      </w:r>
      <w:r w:rsidR="00E81250" w:rsidRPr="00660DDA">
        <w:t xml:space="preserve"> with </w:t>
      </w:r>
      <w:r w:rsidR="00E81250">
        <w:t xml:space="preserve">stakeholders who service these cohorts and </w:t>
      </w:r>
      <w:r w:rsidR="00660DDA">
        <w:t xml:space="preserve">with </w:t>
      </w:r>
      <w:r w:rsidR="00E81250">
        <w:t>women and children who have lived experience of family and domestic violence (FDV) and emergency accommodation</w:t>
      </w:r>
      <w:r>
        <w:t>.</w:t>
      </w:r>
      <w:r w:rsidR="00E81250">
        <w:t xml:space="preserve"> </w:t>
      </w:r>
      <w:r>
        <w:t>T</w:t>
      </w:r>
      <w:r w:rsidR="00E81250">
        <w:t>he information collected through the</w:t>
      </w:r>
      <w:r w:rsidR="00EC2FF8">
        <w:t>se</w:t>
      </w:r>
      <w:r w:rsidR="00E81250">
        <w:t xml:space="preserve"> consultations </w:t>
      </w:r>
      <w:r w:rsidR="00E81250" w:rsidRPr="003E5BBB">
        <w:t xml:space="preserve">will </w:t>
      </w:r>
      <w:r w:rsidR="00E81250">
        <w:t>inform: the overall design of the Inclusion Round; the Grant Opportunity Guidelines released as part of the Inclusion Round; resources for grant applicants; and the design specifications for</w:t>
      </w:r>
      <w:r w:rsidR="00EC2FF8">
        <w:t>,</w:t>
      </w:r>
      <w:r w:rsidR="00E81250">
        <w:t xml:space="preserve"> and construction of</w:t>
      </w:r>
      <w:r w:rsidR="00EC2FF8">
        <w:t>,</w:t>
      </w:r>
      <w:r w:rsidR="00E81250">
        <w:t xml:space="preserve"> Safe Places.</w:t>
      </w:r>
    </w:p>
    <w:p w14:paraId="6852E930" w14:textId="16BEBFD3" w:rsidR="00E81250" w:rsidRDefault="009E7BFD" w:rsidP="009E7BFD">
      <w:r>
        <w:t>This report presents the findings from focus groups with s</w:t>
      </w:r>
      <w:r w:rsidR="00E81250">
        <w:t>pecialist sector stakeholders</w:t>
      </w:r>
      <w:r w:rsidR="000C4887">
        <w:t xml:space="preserve">. </w:t>
      </w:r>
      <w:r w:rsidR="009F1637">
        <w:t>The</w:t>
      </w:r>
      <w:r w:rsidR="00EC2FF8">
        <w:t>se</w:t>
      </w:r>
      <w:r w:rsidR="009F1637">
        <w:t xml:space="preserve"> consultations </w:t>
      </w:r>
      <w:r w:rsidR="00EC2FF8">
        <w:t>explored</w:t>
      </w:r>
      <w:r w:rsidR="009F1637">
        <w:t xml:space="preserve"> the following research questions: </w:t>
      </w:r>
    </w:p>
    <w:p w14:paraId="4FC8BBE4" w14:textId="2ED1B02F" w:rsidR="009F1637" w:rsidRDefault="009F1637" w:rsidP="009F1637">
      <w:pPr>
        <w:pStyle w:val="Bulletlist"/>
      </w:pPr>
      <w:r>
        <w:t xml:space="preserve">What are the physical design and cultural features needed within emergency accommodation, to support victim-survivor women and children from </w:t>
      </w:r>
      <w:r w:rsidR="00D62B3D">
        <w:t>First Nations</w:t>
      </w:r>
      <w:r>
        <w:t>, CALD and disability backgrounds?</w:t>
      </w:r>
      <w:r w:rsidR="00E67F01">
        <w:t xml:space="preserve"> </w:t>
      </w:r>
    </w:p>
    <w:p w14:paraId="62DCF16B" w14:textId="124DDFDD" w:rsidR="009F1637" w:rsidRDefault="009F1637" w:rsidP="009F1637">
      <w:pPr>
        <w:pStyle w:val="Bulletlist"/>
      </w:pPr>
      <w:r>
        <w:t>What other supports</w:t>
      </w:r>
      <w:r w:rsidR="00843069">
        <w:t xml:space="preserve"> or </w:t>
      </w:r>
      <w:r>
        <w:t xml:space="preserve">services </w:t>
      </w:r>
      <w:r w:rsidRPr="00481E7D">
        <w:t>are needed to</w:t>
      </w:r>
      <w:r>
        <w:t xml:space="preserve"> support victim-survivor women and children from </w:t>
      </w:r>
      <w:r w:rsidR="00C627CC">
        <w:t>First Nations</w:t>
      </w:r>
      <w:r>
        <w:t xml:space="preserve">, CALD and disability backgrounds when they are in emergency accommodation? Which are most critical and at what </w:t>
      </w:r>
      <w:r w:rsidRPr="00481E7D">
        <w:t>time poi</w:t>
      </w:r>
      <w:r w:rsidRPr="00843069">
        <w:t xml:space="preserve">nts? </w:t>
      </w:r>
    </w:p>
    <w:p w14:paraId="51267CAC" w14:textId="5091EF49" w:rsidR="009F1637" w:rsidRDefault="009F1637" w:rsidP="009F1637">
      <w:pPr>
        <w:pStyle w:val="Bulletlist"/>
      </w:pPr>
      <w:r w:rsidRPr="00481E7D">
        <w:t>What should the grant application process require applicants demonstrate to ensure they will meet</w:t>
      </w:r>
      <w:r>
        <w:t xml:space="preserve"> the needs of victim-survivor women and children from </w:t>
      </w:r>
      <w:r w:rsidR="00C627CC">
        <w:t>First Nations</w:t>
      </w:r>
      <w:r>
        <w:t>, CALD and disability backgrounds for emergency accommodation?</w:t>
      </w:r>
    </w:p>
    <w:p w14:paraId="59DB2FDB" w14:textId="677EA330" w:rsidR="009F1637" w:rsidRDefault="009F1637" w:rsidP="009F1637">
      <w:pPr>
        <w:pStyle w:val="Bulletlist"/>
      </w:pPr>
      <w:r>
        <w:t xml:space="preserve">What should the Grant Application Review Team look out for as red flags that suggest the applicant will not do an adequate job supporting victim-survivor women and children from </w:t>
      </w:r>
      <w:r w:rsidR="00C627CC">
        <w:t>First Nations</w:t>
      </w:r>
      <w:r>
        <w:t>, CALD and disability backgrounds in emergency accommodation?</w:t>
      </w:r>
    </w:p>
    <w:p w14:paraId="48C7CD3C" w14:textId="08082B32" w:rsidR="009F1637" w:rsidRDefault="009F1637" w:rsidP="009F1637">
      <w:pPr>
        <w:pStyle w:val="Bulletlist"/>
      </w:pPr>
      <w:r>
        <w:t>What othe</w:t>
      </w:r>
      <w:r w:rsidRPr="006C022C">
        <w:t xml:space="preserve">r </w:t>
      </w:r>
      <w:r w:rsidR="006C022C">
        <w:t xml:space="preserve">services </w:t>
      </w:r>
      <w:r w:rsidRPr="006C022C">
        <w:t>should be in p</w:t>
      </w:r>
      <w:r>
        <w:t>ro</w:t>
      </w:r>
      <w:r w:rsidRPr="00481E7D">
        <w:t xml:space="preserve">ximity </w:t>
      </w:r>
      <w:r w:rsidR="00481E7D">
        <w:t>to</w:t>
      </w:r>
      <w:r w:rsidRPr="00481E7D">
        <w:t xml:space="preserve"> t</w:t>
      </w:r>
      <w:r>
        <w:t xml:space="preserve">he accommodation to fully support victim-survivor women and children from </w:t>
      </w:r>
      <w:r w:rsidR="00C627CC">
        <w:t>First Nations</w:t>
      </w:r>
      <w:r>
        <w:t>, CALD and disability backgrounds as they exit domestic and family violence?</w:t>
      </w:r>
    </w:p>
    <w:p w14:paraId="3419471F" w14:textId="3C6DE2EC" w:rsidR="009F1637" w:rsidRDefault="009F1637" w:rsidP="009F1637">
      <w:pPr>
        <w:pStyle w:val="Bulletlist"/>
      </w:pPr>
      <w:r>
        <w:t xml:space="preserve">How should </w:t>
      </w:r>
      <w:r w:rsidR="00FC4489">
        <w:t>DSS</w:t>
      </w:r>
      <w:r>
        <w:t xml:space="preserve"> manage and support successful grant app</w:t>
      </w:r>
      <w:r w:rsidRPr="00481E7D">
        <w:t>licants in the im</w:t>
      </w:r>
      <w:r>
        <w:t>plementation of their projects?</w:t>
      </w:r>
    </w:p>
    <w:p w14:paraId="48CA3F50" w14:textId="5EA755B1" w:rsidR="00E81250" w:rsidRDefault="009E7BFD" w:rsidP="009E7BFD">
      <w:r w:rsidRPr="00481E7D">
        <w:lastRenderedPageBreak/>
        <w:t>V</w:t>
      </w:r>
      <w:r w:rsidR="00E81250" w:rsidRPr="00481E7D">
        <w:t>ictim-</w:t>
      </w:r>
      <w:r w:rsidR="00E81250" w:rsidRPr="00D000FD">
        <w:t>survivors with lived experience of FDV and emergency accommodation services</w:t>
      </w:r>
      <w:r w:rsidRPr="00D000FD">
        <w:t xml:space="preserve"> will be consulted</w:t>
      </w:r>
      <w:r>
        <w:t xml:space="preserve"> via one-on-one interviews in the </w:t>
      </w:r>
      <w:r w:rsidR="00D000FD">
        <w:t>next</w:t>
      </w:r>
      <w:r>
        <w:t xml:space="preserve"> phase of </w:t>
      </w:r>
      <w:r w:rsidR="001702D1">
        <w:t>research and</w:t>
      </w:r>
      <w:r>
        <w:t xml:space="preserve"> </w:t>
      </w:r>
      <w:r w:rsidR="00481E7D">
        <w:t xml:space="preserve">these findings will be </w:t>
      </w:r>
      <w:r>
        <w:t xml:space="preserve">presented in a secondary report. </w:t>
      </w:r>
    </w:p>
    <w:p w14:paraId="11EBABBE" w14:textId="77777777" w:rsidR="00E81250" w:rsidRPr="00E81250" w:rsidRDefault="00E81250" w:rsidP="00E81250"/>
    <w:p w14:paraId="19285D09" w14:textId="77777777" w:rsidR="0090046B" w:rsidRDefault="0090046B" w:rsidP="0090046B">
      <w:pPr>
        <w:pStyle w:val="Heading1"/>
      </w:pPr>
      <w:bookmarkStart w:id="13" w:name="_Toc147910395"/>
      <w:r>
        <w:lastRenderedPageBreak/>
        <w:t>Methodology</w:t>
      </w:r>
      <w:bookmarkEnd w:id="13"/>
    </w:p>
    <w:p w14:paraId="3C85E0E9" w14:textId="72DF86A1" w:rsidR="00BE2DB8" w:rsidRPr="009E7BFD" w:rsidRDefault="00023D53" w:rsidP="009E7BFD">
      <w:r w:rsidRPr="00D000FD">
        <w:t>T</w:t>
      </w:r>
      <w:r w:rsidRPr="00481E7D">
        <w:t>he focus groups provid</w:t>
      </w:r>
      <w:r w:rsidRPr="00D000FD">
        <w:t>e</w:t>
      </w:r>
      <w:r w:rsidR="007E38DC" w:rsidRPr="00D000FD">
        <w:t>d</w:t>
      </w:r>
      <w:r w:rsidRPr="00D000FD">
        <w:t xml:space="preserve"> a platform for organisations with expertise with First Nations, CALD and</w:t>
      </w:r>
      <w:r w:rsidRPr="00023D53">
        <w:t xml:space="preserve"> disability support</w:t>
      </w:r>
      <w:r>
        <w:t>,</w:t>
      </w:r>
      <w:r w:rsidR="00BE2DB8">
        <w:t xml:space="preserve"> </w:t>
      </w:r>
      <w:r w:rsidR="00A948CB">
        <w:t>comprising</w:t>
      </w:r>
      <w:r w:rsidR="00BE2DB8">
        <w:t xml:space="preserve"> </w:t>
      </w:r>
      <w:r w:rsidR="00DD3FC5">
        <w:t>sector stakeholders</w:t>
      </w:r>
      <w:r>
        <w:t xml:space="preserve"> within these areas who deliver or have expertise in urban areas, and regional/remote areas</w:t>
      </w:r>
      <w:r w:rsidR="00BE2DB8">
        <w:t xml:space="preserve">. </w:t>
      </w:r>
      <w:r w:rsidR="008855EA">
        <w:fldChar w:fldCharType="begin"/>
      </w:r>
      <w:r w:rsidR="008855EA">
        <w:instrText xml:space="preserve"> REF _Ref130978719 \h </w:instrText>
      </w:r>
      <w:r w:rsidR="008855EA">
        <w:fldChar w:fldCharType="separate"/>
      </w:r>
      <w:r w:rsidR="007A3383">
        <w:t xml:space="preserve">Table </w:t>
      </w:r>
      <w:r w:rsidR="007A3383">
        <w:rPr>
          <w:noProof/>
        </w:rPr>
        <w:t>4</w:t>
      </w:r>
      <w:r w:rsidR="008855EA">
        <w:fldChar w:fldCharType="end"/>
      </w:r>
      <w:r>
        <w:t xml:space="preserve"> illustrates the</w:t>
      </w:r>
      <w:r w:rsidR="009E7BFD">
        <w:t xml:space="preserve"> breakdown of focus groups by characteristic. </w:t>
      </w:r>
    </w:p>
    <w:p w14:paraId="77121EC9" w14:textId="1D1E94FB" w:rsidR="009E7BFD" w:rsidRDefault="009E7BFD" w:rsidP="000835D9">
      <w:pPr>
        <w:pStyle w:val="TableFigureChartTitle"/>
      </w:pPr>
      <w:bookmarkStart w:id="14" w:name="_Ref130978719"/>
      <w:bookmarkStart w:id="15" w:name="_Toc147910422"/>
      <w:r>
        <w:t xml:space="preserve">Table </w:t>
      </w:r>
      <w:r w:rsidR="004D727B">
        <w:fldChar w:fldCharType="begin"/>
      </w:r>
      <w:r w:rsidR="004D727B">
        <w:instrText xml:space="preserve"> SEQ Table \* ARABIC </w:instrText>
      </w:r>
      <w:r w:rsidR="004D727B">
        <w:fldChar w:fldCharType="separate"/>
      </w:r>
      <w:r w:rsidR="00F37F7B">
        <w:rPr>
          <w:noProof/>
        </w:rPr>
        <w:t>4</w:t>
      </w:r>
      <w:r w:rsidR="004D727B">
        <w:rPr>
          <w:noProof/>
        </w:rPr>
        <w:fldChar w:fldCharType="end"/>
      </w:r>
      <w:bookmarkEnd w:id="14"/>
      <w:r>
        <w:t xml:space="preserve">: </w:t>
      </w:r>
      <w:r w:rsidR="007E38DC">
        <w:t>C</w:t>
      </w:r>
      <w:r>
        <w:t>haracteristics of focus groups</w:t>
      </w:r>
      <w:bookmarkEnd w:id="15"/>
    </w:p>
    <w:tbl>
      <w:tblPr>
        <w:tblStyle w:val="PeakboundTable"/>
        <w:tblW w:w="0" w:type="auto"/>
        <w:tblLook w:val="04A0" w:firstRow="1" w:lastRow="0" w:firstColumn="1" w:lastColumn="0" w:noHBand="0" w:noVBand="1"/>
        <w:tblCaption w:val="Table 4: Characteristics of focus groups"/>
        <w:tblDescription w:val="Table showing the characteristics of the six focus groups by geographic expertise, cohort expertise and jurisdiction."/>
      </w:tblPr>
      <w:tblGrid>
        <w:gridCol w:w="1374"/>
        <w:gridCol w:w="1333"/>
        <w:gridCol w:w="1333"/>
        <w:gridCol w:w="1333"/>
        <w:gridCol w:w="1333"/>
        <w:gridCol w:w="1333"/>
        <w:gridCol w:w="1161"/>
      </w:tblGrid>
      <w:tr w:rsidR="00987028" w:rsidRPr="00987028" w14:paraId="0CED9E16" w14:textId="77777777" w:rsidTr="00987028">
        <w:trPr>
          <w:cnfStyle w:val="100000000000" w:firstRow="1" w:lastRow="0" w:firstColumn="0" w:lastColumn="0" w:oddVBand="0" w:evenVBand="0" w:oddHBand="0" w:evenHBand="0" w:firstRowFirstColumn="0" w:firstRowLastColumn="0" w:lastRowFirstColumn="0" w:lastRowLastColumn="0"/>
          <w:trHeight w:val="323"/>
        </w:trPr>
        <w:tc>
          <w:tcPr>
            <w:tcW w:w="1374" w:type="dxa"/>
          </w:tcPr>
          <w:p w14:paraId="0D34048D" w14:textId="77777777" w:rsidR="00987028" w:rsidRPr="00987028" w:rsidRDefault="00987028" w:rsidP="00AE65D5">
            <w:pPr>
              <w:rPr>
                <w:b/>
                <w:bCs/>
                <w:sz w:val="18"/>
                <w:szCs w:val="18"/>
              </w:rPr>
            </w:pPr>
          </w:p>
        </w:tc>
        <w:tc>
          <w:tcPr>
            <w:tcW w:w="1333" w:type="dxa"/>
          </w:tcPr>
          <w:p w14:paraId="1F9F4EB2" w14:textId="77777777" w:rsidR="00987028" w:rsidRPr="00987028" w:rsidRDefault="00987028" w:rsidP="00BF1F05">
            <w:pPr>
              <w:jc w:val="center"/>
              <w:rPr>
                <w:b/>
                <w:bCs/>
                <w:sz w:val="18"/>
                <w:szCs w:val="18"/>
              </w:rPr>
            </w:pPr>
            <w:r w:rsidRPr="00987028">
              <w:rPr>
                <w:b/>
                <w:bCs/>
                <w:sz w:val="18"/>
                <w:szCs w:val="18"/>
              </w:rPr>
              <w:t>Focus Group 1</w:t>
            </w:r>
          </w:p>
        </w:tc>
        <w:tc>
          <w:tcPr>
            <w:tcW w:w="1333" w:type="dxa"/>
          </w:tcPr>
          <w:p w14:paraId="3D9AC25B" w14:textId="77777777" w:rsidR="00987028" w:rsidRPr="00987028" w:rsidRDefault="00987028" w:rsidP="00BF1F05">
            <w:pPr>
              <w:jc w:val="center"/>
              <w:rPr>
                <w:b/>
                <w:bCs/>
                <w:sz w:val="18"/>
                <w:szCs w:val="18"/>
              </w:rPr>
            </w:pPr>
            <w:r w:rsidRPr="00987028">
              <w:rPr>
                <w:b/>
                <w:bCs/>
                <w:sz w:val="18"/>
                <w:szCs w:val="18"/>
              </w:rPr>
              <w:t>Focus Group 2</w:t>
            </w:r>
          </w:p>
        </w:tc>
        <w:tc>
          <w:tcPr>
            <w:tcW w:w="1333" w:type="dxa"/>
          </w:tcPr>
          <w:p w14:paraId="751EDFAB" w14:textId="77777777" w:rsidR="00987028" w:rsidRPr="00987028" w:rsidRDefault="00987028" w:rsidP="00BF1F05">
            <w:pPr>
              <w:jc w:val="center"/>
              <w:rPr>
                <w:b/>
                <w:bCs/>
                <w:sz w:val="18"/>
                <w:szCs w:val="18"/>
              </w:rPr>
            </w:pPr>
            <w:r w:rsidRPr="00987028">
              <w:rPr>
                <w:b/>
                <w:bCs/>
                <w:sz w:val="18"/>
                <w:szCs w:val="18"/>
              </w:rPr>
              <w:t>Focus Group 3</w:t>
            </w:r>
          </w:p>
        </w:tc>
        <w:tc>
          <w:tcPr>
            <w:tcW w:w="1333" w:type="dxa"/>
          </w:tcPr>
          <w:p w14:paraId="3C778F51" w14:textId="77777777" w:rsidR="00987028" w:rsidRPr="00987028" w:rsidRDefault="00987028" w:rsidP="00BF1F05">
            <w:pPr>
              <w:jc w:val="center"/>
              <w:rPr>
                <w:b/>
                <w:bCs/>
                <w:sz w:val="18"/>
                <w:szCs w:val="18"/>
              </w:rPr>
            </w:pPr>
            <w:r w:rsidRPr="00987028">
              <w:rPr>
                <w:b/>
                <w:bCs/>
                <w:sz w:val="18"/>
                <w:szCs w:val="18"/>
              </w:rPr>
              <w:t>Focus Group 4</w:t>
            </w:r>
          </w:p>
        </w:tc>
        <w:tc>
          <w:tcPr>
            <w:tcW w:w="1333" w:type="dxa"/>
          </w:tcPr>
          <w:p w14:paraId="51C1FB5A" w14:textId="5097ACFF" w:rsidR="00987028" w:rsidRPr="00987028" w:rsidRDefault="00987028" w:rsidP="00BF1F05">
            <w:pPr>
              <w:jc w:val="center"/>
              <w:rPr>
                <w:b/>
                <w:bCs/>
                <w:sz w:val="18"/>
                <w:szCs w:val="18"/>
              </w:rPr>
            </w:pPr>
            <w:r w:rsidRPr="00987028">
              <w:rPr>
                <w:b/>
                <w:bCs/>
                <w:sz w:val="18"/>
                <w:szCs w:val="18"/>
              </w:rPr>
              <w:t>Focus Group 5</w:t>
            </w:r>
          </w:p>
        </w:tc>
        <w:tc>
          <w:tcPr>
            <w:tcW w:w="1161" w:type="dxa"/>
          </w:tcPr>
          <w:p w14:paraId="19D49F3D" w14:textId="77777777" w:rsidR="00987028" w:rsidRPr="00987028" w:rsidRDefault="00987028" w:rsidP="00BF1F05">
            <w:pPr>
              <w:jc w:val="center"/>
              <w:rPr>
                <w:b/>
                <w:bCs/>
                <w:sz w:val="18"/>
                <w:szCs w:val="18"/>
              </w:rPr>
            </w:pPr>
            <w:r w:rsidRPr="00987028">
              <w:rPr>
                <w:b/>
                <w:bCs/>
                <w:sz w:val="18"/>
                <w:szCs w:val="18"/>
              </w:rPr>
              <w:t>Focus Group 6</w:t>
            </w:r>
          </w:p>
        </w:tc>
      </w:tr>
      <w:tr w:rsidR="00987028" w:rsidRPr="00987028" w14:paraId="6A4ED7A2" w14:textId="77777777" w:rsidTr="00987028">
        <w:trPr>
          <w:cnfStyle w:val="000000100000" w:firstRow="0" w:lastRow="0" w:firstColumn="0" w:lastColumn="0" w:oddVBand="0" w:evenVBand="0" w:oddHBand="1" w:evenHBand="0" w:firstRowFirstColumn="0" w:firstRowLastColumn="0" w:lastRowFirstColumn="0" w:lastRowLastColumn="0"/>
          <w:trHeight w:val="499"/>
        </w:trPr>
        <w:tc>
          <w:tcPr>
            <w:tcW w:w="1374" w:type="dxa"/>
          </w:tcPr>
          <w:p w14:paraId="12D66AF1" w14:textId="77777777" w:rsidR="00987028" w:rsidRPr="00987028" w:rsidRDefault="00987028" w:rsidP="00AE65D5">
            <w:pPr>
              <w:rPr>
                <w:b/>
                <w:bCs/>
                <w:sz w:val="18"/>
                <w:szCs w:val="18"/>
              </w:rPr>
            </w:pPr>
            <w:r w:rsidRPr="00987028">
              <w:rPr>
                <w:b/>
                <w:bCs/>
                <w:sz w:val="18"/>
                <w:szCs w:val="18"/>
              </w:rPr>
              <w:t>Geographic expertise</w:t>
            </w:r>
          </w:p>
        </w:tc>
        <w:tc>
          <w:tcPr>
            <w:tcW w:w="1333" w:type="dxa"/>
          </w:tcPr>
          <w:p w14:paraId="46D154D3" w14:textId="77777777" w:rsidR="00987028" w:rsidRPr="00987028" w:rsidRDefault="00987028" w:rsidP="00AE65D5">
            <w:pPr>
              <w:jc w:val="center"/>
              <w:rPr>
                <w:sz w:val="18"/>
                <w:szCs w:val="18"/>
              </w:rPr>
            </w:pPr>
            <w:r w:rsidRPr="00987028">
              <w:rPr>
                <w:sz w:val="18"/>
                <w:szCs w:val="18"/>
              </w:rPr>
              <w:t>Urban</w:t>
            </w:r>
          </w:p>
        </w:tc>
        <w:tc>
          <w:tcPr>
            <w:tcW w:w="1333" w:type="dxa"/>
          </w:tcPr>
          <w:p w14:paraId="67B0021C" w14:textId="5345B818" w:rsidR="00987028" w:rsidRPr="00987028" w:rsidRDefault="00987028" w:rsidP="00AE65D5">
            <w:pPr>
              <w:jc w:val="center"/>
              <w:rPr>
                <w:sz w:val="18"/>
                <w:szCs w:val="18"/>
              </w:rPr>
            </w:pPr>
            <w:r w:rsidRPr="00987028">
              <w:rPr>
                <w:sz w:val="18"/>
                <w:szCs w:val="18"/>
              </w:rPr>
              <w:t>Regional</w:t>
            </w:r>
            <w:r w:rsidR="006B386B">
              <w:rPr>
                <w:sz w:val="18"/>
                <w:szCs w:val="18"/>
              </w:rPr>
              <w:t>/</w:t>
            </w:r>
            <w:r w:rsidR="006B386B">
              <w:rPr>
                <w:sz w:val="18"/>
                <w:szCs w:val="18"/>
              </w:rPr>
              <w:br/>
            </w:r>
            <w:r w:rsidRPr="00987028">
              <w:rPr>
                <w:sz w:val="18"/>
                <w:szCs w:val="18"/>
              </w:rPr>
              <w:t>remote</w:t>
            </w:r>
          </w:p>
        </w:tc>
        <w:tc>
          <w:tcPr>
            <w:tcW w:w="1333" w:type="dxa"/>
          </w:tcPr>
          <w:p w14:paraId="664DD5BE" w14:textId="77777777" w:rsidR="00987028" w:rsidRPr="00987028" w:rsidRDefault="00987028" w:rsidP="00AE65D5">
            <w:pPr>
              <w:jc w:val="center"/>
              <w:rPr>
                <w:sz w:val="18"/>
                <w:szCs w:val="18"/>
              </w:rPr>
            </w:pPr>
            <w:r w:rsidRPr="00987028">
              <w:rPr>
                <w:sz w:val="18"/>
                <w:szCs w:val="18"/>
              </w:rPr>
              <w:t>Urban</w:t>
            </w:r>
          </w:p>
        </w:tc>
        <w:tc>
          <w:tcPr>
            <w:tcW w:w="1333" w:type="dxa"/>
          </w:tcPr>
          <w:p w14:paraId="530DD79A" w14:textId="34B4623C" w:rsidR="00987028" w:rsidRPr="00987028" w:rsidRDefault="00987028" w:rsidP="00AE65D5">
            <w:pPr>
              <w:jc w:val="center"/>
              <w:rPr>
                <w:sz w:val="18"/>
                <w:szCs w:val="18"/>
              </w:rPr>
            </w:pPr>
            <w:r w:rsidRPr="00987028">
              <w:rPr>
                <w:sz w:val="18"/>
                <w:szCs w:val="18"/>
              </w:rPr>
              <w:t>Regional</w:t>
            </w:r>
            <w:r w:rsidR="006B386B">
              <w:rPr>
                <w:sz w:val="18"/>
                <w:szCs w:val="18"/>
              </w:rPr>
              <w:t>/</w:t>
            </w:r>
            <w:r w:rsidR="006B386B">
              <w:rPr>
                <w:sz w:val="18"/>
                <w:szCs w:val="18"/>
              </w:rPr>
              <w:br/>
            </w:r>
            <w:r w:rsidRPr="00987028">
              <w:rPr>
                <w:sz w:val="18"/>
                <w:szCs w:val="18"/>
              </w:rPr>
              <w:t>remote</w:t>
            </w:r>
          </w:p>
        </w:tc>
        <w:tc>
          <w:tcPr>
            <w:tcW w:w="1333" w:type="dxa"/>
          </w:tcPr>
          <w:p w14:paraId="55151945" w14:textId="072978C2" w:rsidR="00987028" w:rsidRPr="00987028" w:rsidRDefault="007E38DC" w:rsidP="00AE65D5">
            <w:pPr>
              <w:jc w:val="center"/>
              <w:rPr>
                <w:sz w:val="18"/>
                <w:szCs w:val="18"/>
              </w:rPr>
            </w:pPr>
            <w:r>
              <w:rPr>
                <w:sz w:val="18"/>
                <w:szCs w:val="18"/>
              </w:rPr>
              <w:t>Regional</w:t>
            </w:r>
            <w:r w:rsidR="006B386B">
              <w:rPr>
                <w:sz w:val="18"/>
                <w:szCs w:val="18"/>
              </w:rPr>
              <w:t>/</w:t>
            </w:r>
            <w:r w:rsidR="006B386B">
              <w:rPr>
                <w:sz w:val="18"/>
                <w:szCs w:val="18"/>
              </w:rPr>
              <w:br/>
            </w:r>
            <w:r>
              <w:rPr>
                <w:sz w:val="18"/>
                <w:szCs w:val="18"/>
              </w:rPr>
              <w:t>remote*</w:t>
            </w:r>
          </w:p>
        </w:tc>
        <w:tc>
          <w:tcPr>
            <w:tcW w:w="1161" w:type="dxa"/>
          </w:tcPr>
          <w:p w14:paraId="25773C3E" w14:textId="5D0A5F99" w:rsidR="00987028" w:rsidRPr="00987028" w:rsidRDefault="00987028" w:rsidP="00AE65D5">
            <w:pPr>
              <w:jc w:val="center"/>
              <w:rPr>
                <w:sz w:val="18"/>
                <w:szCs w:val="18"/>
              </w:rPr>
            </w:pPr>
            <w:r w:rsidRPr="00987028">
              <w:rPr>
                <w:sz w:val="18"/>
                <w:szCs w:val="18"/>
              </w:rPr>
              <w:t>Regional</w:t>
            </w:r>
            <w:r w:rsidR="006B386B">
              <w:rPr>
                <w:sz w:val="18"/>
                <w:szCs w:val="18"/>
              </w:rPr>
              <w:t>/</w:t>
            </w:r>
            <w:r w:rsidR="006B386B">
              <w:rPr>
                <w:sz w:val="18"/>
                <w:szCs w:val="18"/>
              </w:rPr>
              <w:br/>
            </w:r>
            <w:r w:rsidRPr="00987028">
              <w:rPr>
                <w:sz w:val="18"/>
                <w:szCs w:val="18"/>
              </w:rPr>
              <w:t>remote</w:t>
            </w:r>
          </w:p>
        </w:tc>
      </w:tr>
      <w:tr w:rsidR="00987028" w:rsidRPr="00987028" w14:paraId="1879708A" w14:textId="77777777" w:rsidTr="00987028">
        <w:trPr>
          <w:trHeight w:val="332"/>
        </w:trPr>
        <w:tc>
          <w:tcPr>
            <w:tcW w:w="1374" w:type="dxa"/>
          </w:tcPr>
          <w:p w14:paraId="6DB35C22" w14:textId="77777777" w:rsidR="00987028" w:rsidRPr="00987028" w:rsidRDefault="00987028" w:rsidP="00AE65D5">
            <w:pPr>
              <w:rPr>
                <w:b/>
                <w:bCs/>
                <w:sz w:val="18"/>
                <w:szCs w:val="18"/>
              </w:rPr>
            </w:pPr>
            <w:r w:rsidRPr="00987028">
              <w:rPr>
                <w:b/>
                <w:bCs/>
                <w:sz w:val="18"/>
                <w:szCs w:val="18"/>
              </w:rPr>
              <w:t xml:space="preserve">Cohort expertise </w:t>
            </w:r>
          </w:p>
        </w:tc>
        <w:tc>
          <w:tcPr>
            <w:tcW w:w="1333" w:type="dxa"/>
          </w:tcPr>
          <w:p w14:paraId="14E26EFA" w14:textId="77777777" w:rsidR="00987028" w:rsidRPr="00987028" w:rsidRDefault="00987028" w:rsidP="00AE65D5">
            <w:pPr>
              <w:jc w:val="center"/>
              <w:rPr>
                <w:sz w:val="18"/>
                <w:szCs w:val="18"/>
              </w:rPr>
            </w:pPr>
            <w:r w:rsidRPr="00987028">
              <w:rPr>
                <w:sz w:val="18"/>
                <w:szCs w:val="18"/>
              </w:rPr>
              <w:t>Disability</w:t>
            </w:r>
          </w:p>
        </w:tc>
        <w:tc>
          <w:tcPr>
            <w:tcW w:w="1333" w:type="dxa"/>
          </w:tcPr>
          <w:p w14:paraId="4DC83294" w14:textId="77777777" w:rsidR="00987028" w:rsidRPr="00987028" w:rsidRDefault="00987028" w:rsidP="00AE65D5">
            <w:pPr>
              <w:jc w:val="center"/>
              <w:rPr>
                <w:sz w:val="18"/>
                <w:szCs w:val="18"/>
              </w:rPr>
            </w:pPr>
            <w:r w:rsidRPr="00987028">
              <w:rPr>
                <w:sz w:val="18"/>
                <w:szCs w:val="18"/>
              </w:rPr>
              <w:t>Disability</w:t>
            </w:r>
          </w:p>
        </w:tc>
        <w:tc>
          <w:tcPr>
            <w:tcW w:w="1333" w:type="dxa"/>
          </w:tcPr>
          <w:p w14:paraId="144935BB" w14:textId="77777777" w:rsidR="00987028" w:rsidRPr="00987028" w:rsidRDefault="00987028" w:rsidP="00AE65D5">
            <w:pPr>
              <w:jc w:val="center"/>
              <w:rPr>
                <w:sz w:val="18"/>
                <w:szCs w:val="18"/>
              </w:rPr>
            </w:pPr>
            <w:r w:rsidRPr="00987028">
              <w:rPr>
                <w:sz w:val="18"/>
                <w:szCs w:val="18"/>
              </w:rPr>
              <w:t>CALD</w:t>
            </w:r>
          </w:p>
        </w:tc>
        <w:tc>
          <w:tcPr>
            <w:tcW w:w="1333" w:type="dxa"/>
          </w:tcPr>
          <w:p w14:paraId="579EF1DE" w14:textId="77777777" w:rsidR="00987028" w:rsidRPr="00987028" w:rsidRDefault="00987028" w:rsidP="00AE65D5">
            <w:pPr>
              <w:jc w:val="center"/>
              <w:rPr>
                <w:sz w:val="18"/>
                <w:szCs w:val="18"/>
              </w:rPr>
            </w:pPr>
            <w:r w:rsidRPr="00987028">
              <w:rPr>
                <w:sz w:val="18"/>
                <w:szCs w:val="18"/>
              </w:rPr>
              <w:t>CALD</w:t>
            </w:r>
          </w:p>
        </w:tc>
        <w:tc>
          <w:tcPr>
            <w:tcW w:w="1333" w:type="dxa"/>
          </w:tcPr>
          <w:p w14:paraId="07B1AE90" w14:textId="77777777" w:rsidR="00987028" w:rsidRPr="00987028" w:rsidRDefault="00987028" w:rsidP="00AE65D5">
            <w:pPr>
              <w:jc w:val="center"/>
              <w:rPr>
                <w:sz w:val="18"/>
                <w:szCs w:val="18"/>
              </w:rPr>
            </w:pPr>
            <w:r w:rsidRPr="00987028">
              <w:rPr>
                <w:sz w:val="18"/>
                <w:szCs w:val="18"/>
              </w:rPr>
              <w:t>First Nations</w:t>
            </w:r>
          </w:p>
        </w:tc>
        <w:tc>
          <w:tcPr>
            <w:tcW w:w="1161" w:type="dxa"/>
          </w:tcPr>
          <w:p w14:paraId="468286C8" w14:textId="77777777" w:rsidR="00987028" w:rsidRPr="00987028" w:rsidRDefault="00987028" w:rsidP="00AE65D5">
            <w:pPr>
              <w:jc w:val="center"/>
              <w:rPr>
                <w:sz w:val="18"/>
                <w:szCs w:val="18"/>
              </w:rPr>
            </w:pPr>
            <w:r w:rsidRPr="00987028">
              <w:rPr>
                <w:sz w:val="18"/>
                <w:szCs w:val="18"/>
              </w:rPr>
              <w:t>First Nations</w:t>
            </w:r>
          </w:p>
        </w:tc>
      </w:tr>
      <w:tr w:rsidR="00987028" w:rsidRPr="00987028" w14:paraId="1EBB895C" w14:textId="77777777" w:rsidTr="00DD2AD9">
        <w:trPr>
          <w:cnfStyle w:val="000000100000" w:firstRow="0" w:lastRow="0" w:firstColumn="0" w:lastColumn="0" w:oddVBand="0" w:evenVBand="0" w:oddHBand="1" w:evenHBand="0" w:firstRowFirstColumn="0" w:firstRowLastColumn="0" w:lastRowFirstColumn="0" w:lastRowLastColumn="0"/>
          <w:trHeight w:val="461"/>
        </w:trPr>
        <w:tc>
          <w:tcPr>
            <w:tcW w:w="1374" w:type="dxa"/>
          </w:tcPr>
          <w:p w14:paraId="05DF155C" w14:textId="77777777" w:rsidR="00987028" w:rsidRPr="00987028" w:rsidRDefault="00987028" w:rsidP="00AE65D5">
            <w:pPr>
              <w:rPr>
                <w:b/>
                <w:bCs/>
                <w:sz w:val="18"/>
                <w:szCs w:val="18"/>
              </w:rPr>
            </w:pPr>
            <w:r w:rsidRPr="00987028">
              <w:rPr>
                <w:b/>
                <w:bCs/>
                <w:sz w:val="18"/>
                <w:szCs w:val="18"/>
              </w:rPr>
              <w:t>Jurisdiction</w:t>
            </w:r>
          </w:p>
        </w:tc>
        <w:tc>
          <w:tcPr>
            <w:tcW w:w="1333" w:type="dxa"/>
          </w:tcPr>
          <w:p w14:paraId="5A4318E0" w14:textId="77777777" w:rsidR="00987028" w:rsidRPr="00987028" w:rsidRDefault="00987028" w:rsidP="00AE65D5">
            <w:pPr>
              <w:jc w:val="center"/>
              <w:rPr>
                <w:sz w:val="18"/>
                <w:szCs w:val="18"/>
              </w:rPr>
            </w:pPr>
            <w:r w:rsidRPr="00987028">
              <w:rPr>
                <w:sz w:val="18"/>
                <w:szCs w:val="18"/>
              </w:rPr>
              <w:t>Mix of states and territories</w:t>
            </w:r>
          </w:p>
        </w:tc>
        <w:tc>
          <w:tcPr>
            <w:tcW w:w="1333" w:type="dxa"/>
          </w:tcPr>
          <w:p w14:paraId="5B1E3AE4" w14:textId="77777777" w:rsidR="00987028" w:rsidRPr="00987028" w:rsidRDefault="00987028" w:rsidP="00AE65D5">
            <w:pPr>
              <w:jc w:val="center"/>
              <w:rPr>
                <w:sz w:val="18"/>
                <w:szCs w:val="18"/>
              </w:rPr>
            </w:pPr>
            <w:r w:rsidRPr="00987028">
              <w:rPr>
                <w:sz w:val="18"/>
                <w:szCs w:val="18"/>
              </w:rPr>
              <w:t>Mix of states and territories</w:t>
            </w:r>
          </w:p>
        </w:tc>
        <w:tc>
          <w:tcPr>
            <w:tcW w:w="1333" w:type="dxa"/>
          </w:tcPr>
          <w:p w14:paraId="31C61DC9" w14:textId="77777777" w:rsidR="00987028" w:rsidRPr="00987028" w:rsidRDefault="00987028" w:rsidP="00AE65D5">
            <w:pPr>
              <w:jc w:val="center"/>
              <w:rPr>
                <w:sz w:val="18"/>
                <w:szCs w:val="18"/>
              </w:rPr>
            </w:pPr>
            <w:r w:rsidRPr="00987028">
              <w:rPr>
                <w:sz w:val="18"/>
                <w:szCs w:val="18"/>
              </w:rPr>
              <w:t>Mix of states and territories</w:t>
            </w:r>
          </w:p>
        </w:tc>
        <w:tc>
          <w:tcPr>
            <w:tcW w:w="1333" w:type="dxa"/>
          </w:tcPr>
          <w:p w14:paraId="18718382" w14:textId="77777777" w:rsidR="00987028" w:rsidRPr="00987028" w:rsidRDefault="00987028" w:rsidP="00AE65D5">
            <w:pPr>
              <w:jc w:val="center"/>
              <w:rPr>
                <w:sz w:val="18"/>
                <w:szCs w:val="18"/>
              </w:rPr>
            </w:pPr>
            <w:r w:rsidRPr="00987028">
              <w:rPr>
                <w:sz w:val="18"/>
                <w:szCs w:val="18"/>
              </w:rPr>
              <w:t>Mix of states and territories</w:t>
            </w:r>
          </w:p>
        </w:tc>
        <w:tc>
          <w:tcPr>
            <w:tcW w:w="1333" w:type="dxa"/>
          </w:tcPr>
          <w:p w14:paraId="55CEE3BF" w14:textId="77777777" w:rsidR="00987028" w:rsidRPr="00987028" w:rsidRDefault="00987028" w:rsidP="00AE65D5">
            <w:pPr>
              <w:jc w:val="center"/>
              <w:rPr>
                <w:sz w:val="18"/>
                <w:szCs w:val="18"/>
              </w:rPr>
            </w:pPr>
            <w:r w:rsidRPr="00987028">
              <w:rPr>
                <w:sz w:val="18"/>
                <w:szCs w:val="18"/>
              </w:rPr>
              <w:t>Mix of states and territories</w:t>
            </w:r>
          </w:p>
        </w:tc>
        <w:tc>
          <w:tcPr>
            <w:tcW w:w="1161" w:type="dxa"/>
          </w:tcPr>
          <w:p w14:paraId="7D040833" w14:textId="77777777" w:rsidR="00987028" w:rsidRPr="00987028" w:rsidRDefault="00987028" w:rsidP="00AE65D5">
            <w:pPr>
              <w:jc w:val="center"/>
              <w:rPr>
                <w:sz w:val="18"/>
                <w:szCs w:val="18"/>
              </w:rPr>
            </w:pPr>
            <w:r w:rsidRPr="00987028">
              <w:rPr>
                <w:sz w:val="18"/>
                <w:szCs w:val="18"/>
              </w:rPr>
              <w:t>Mix of states and territories</w:t>
            </w:r>
          </w:p>
        </w:tc>
      </w:tr>
    </w:tbl>
    <w:p w14:paraId="1B915994" w14:textId="6BED90E3" w:rsidR="00AB66C4" w:rsidRPr="007E38DC" w:rsidRDefault="007E38DC" w:rsidP="00BE2DB8">
      <w:pPr>
        <w:rPr>
          <w:sz w:val="20"/>
          <w:szCs w:val="20"/>
        </w:rPr>
      </w:pPr>
      <w:r w:rsidRPr="007E38DC">
        <w:rPr>
          <w:sz w:val="20"/>
          <w:szCs w:val="20"/>
        </w:rPr>
        <w:t>*Unable to recruit participants who had expertise in urban areas</w:t>
      </w:r>
      <w:r>
        <w:rPr>
          <w:sz w:val="20"/>
          <w:szCs w:val="20"/>
        </w:rPr>
        <w:t xml:space="preserve"> for First Nations groups</w:t>
      </w:r>
      <w:r w:rsidRPr="007E38DC">
        <w:rPr>
          <w:sz w:val="20"/>
          <w:szCs w:val="20"/>
        </w:rPr>
        <w:t xml:space="preserve">, so </w:t>
      </w:r>
      <w:r w:rsidR="00D000FD">
        <w:rPr>
          <w:sz w:val="20"/>
          <w:szCs w:val="20"/>
        </w:rPr>
        <w:t>f</w:t>
      </w:r>
      <w:r w:rsidRPr="007E38DC">
        <w:rPr>
          <w:sz w:val="20"/>
          <w:szCs w:val="20"/>
        </w:rPr>
        <w:t>ocu</w:t>
      </w:r>
      <w:r w:rsidRPr="00D000FD">
        <w:rPr>
          <w:sz w:val="20"/>
          <w:szCs w:val="20"/>
        </w:rPr>
        <w:t xml:space="preserve">s </w:t>
      </w:r>
      <w:r w:rsidR="00D000FD">
        <w:rPr>
          <w:sz w:val="20"/>
          <w:szCs w:val="20"/>
        </w:rPr>
        <w:t>g</w:t>
      </w:r>
      <w:r w:rsidRPr="00D000FD">
        <w:rPr>
          <w:sz w:val="20"/>
          <w:szCs w:val="20"/>
        </w:rPr>
        <w:t>r</w:t>
      </w:r>
      <w:r w:rsidRPr="007E38DC">
        <w:rPr>
          <w:sz w:val="20"/>
          <w:szCs w:val="20"/>
        </w:rPr>
        <w:t>oup</w:t>
      </w:r>
      <w:r w:rsidR="00D000FD">
        <w:rPr>
          <w:sz w:val="20"/>
          <w:szCs w:val="20"/>
        </w:rPr>
        <w:t>s</w:t>
      </w:r>
      <w:r w:rsidRPr="007E38DC">
        <w:rPr>
          <w:sz w:val="20"/>
          <w:szCs w:val="20"/>
        </w:rPr>
        <w:t xml:space="preserve"> 5 and 6 included stakeholders with expertise in regional</w:t>
      </w:r>
      <w:r w:rsidR="006B386B">
        <w:rPr>
          <w:sz w:val="20"/>
          <w:szCs w:val="20"/>
        </w:rPr>
        <w:t>/</w:t>
      </w:r>
      <w:r w:rsidRPr="007E38DC">
        <w:rPr>
          <w:sz w:val="20"/>
          <w:szCs w:val="20"/>
        </w:rPr>
        <w:t>remote areas.</w:t>
      </w:r>
    </w:p>
    <w:p w14:paraId="32263D5C" w14:textId="36C4C1F8" w:rsidR="00BE2DB8" w:rsidRDefault="00563D62" w:rsidP="00BE2DB8">
      <w:r>
        <w:t>Criteria for i</w:t>
      </w:r>
      <w:r w:rsidR="00BE2DB8">
        <w:t xml:space="preserve">nclusion </w:t>
      </w:r>
      <w:r>
        <w:t>were</w:t>
      </w:r>
      <w:r w:rsidR="00BE2DB8">
        <w:t xml:space="preserve">:  </w:t>
      </w:r>
    </w:p>
    <w:p w14:paraId="000CCDEA" w14:textId="0665E1B3" w:rsidR="00E81250" w:rsidRDefault="00563D62" w:rsidP="00E81250">
      <w:pPr>
        <w:pStyle w:val="Bulletlist"/>
      </w:pPr>
      <w:r>
        <w:t xml:space="preserve">expertise </w:t>
      </w:r>
      <w:r w:rsidR="00E81250">
        <w:t xml:space="preserve">in First Nations, CALD </w:t>
      </w:r>
      <w:r w:rsidR="00987028">
        <w:t>and/or</w:t>
      </w:r>
      <w:r w:rsidR="00E81250">
        <w:t xml:space="preserve"> disability support</w:t>
      </w:r>
    </w:p>
    <w:p w14:paraId="0644352C" w14:textId="29AA9F52" w:rsidR="00E81250" w:rsidRDefault="00563D62" w:rsidP="00E81250">
      <w:pPr>
        <w:pStyle w:val="Bulletlist"/>
      </w:pPr>
      <w:r>
        <w:t xml:space="preserve">experience </w:t>
      </w:r>
      <w:r w:rsidR="00E81250">
        <w:t>with and expertise in emergency accommodatio</w:t>
      </w:r>
      <w:r w:rsidR="00E81250" w:rsidRPr="00563D62">
        <w:t>n</w:t>
      </w:r>
      <w:r>
        <w:t>,</w:t>
      </w:r>
      <w:r w:rsidR="00E81250" w:rsidRPr="00563D62">
        <w:t xml:space="preserve"> and d</w:t>
      </w:r>
      <w:r w:rsidR="00E81250">
        <w:t xml:space="preserve">omestic and family violence (where possible) </w:t>
      </w:r>
    </w:p>
    <w:p w14:paraId="01B87E14" w14:textId="3552273A" w:rsidR="00BE2DB8" w:rsidRDefault="00A948CB" w:rsidP="00BE2DB8">
      <w:pPr>
        <w:pStyle w:val="Bulletlist"/>
        <w:numPr>
          <w:ilvl w:val="0"/>
          <w:numId w:val="0"/>
        </w:numPr>
        <w:ind w:left="340" w:hanging="340"/>
      </w:pPr>
      <w:r>
        <w:t>Those excluded were</w:t>
      </w:r>
      <w:r w:rsidR="00BE2DB8" w:rsidRPr="00A948CB">
        <w:t>:</w:t>
      </w:r>
      <w:r w:rsidR="00BE2DB8">
        <w:t xml:space="preserve"> </w:t>
      </w:r>
    </w:p>
    <w:p w14:paraId="1DC98307" w14:textId="5DC805D0" w:rsidR="00B96B76" w:rsidRDefault="00563D62" w:rsidP="00987028">
      <w:pPr>
        <w:pStyle w:val="Bulletlist"/>
      </w:pPr>
      <w:r w:rsidRPr="00B96B76">
        <w:t xml:space="preserve">organisations </w:t>
      </w:r>
      <w:r>
        <w:t xml:space="preserve">without </w:t>
      </w:r>
      <w:r w:rsidR="00B96B76" w:rsidRPr="00B96B76">
        <w:t xml:space="preserve">a specific mandate for, or expertise in, any of the three </w:t>
      </w:r>
      <w:r w:rsidR="00987028">
        <w:t>cohorts (First Nations, CALD or disability)</w:t>
      </w:r>
      <w:r w:rsidR="00A948CB">
        <w:t>.</w:t>
      </w:r>
      <w:r w:rsidR="00745687">
        <w:t xml:space="preserve"> </w:t>
      </w:r>
    </w:p>
    <w:p w14:paraId="56B468F2" w14:textId="3EB2D1B3" w:rsidR="00E81250" w:rsidRDefault="00BE2DB8" w:rsidP="00987028">
      <w:r>
        <w:t>A recruitment scree</w:t>
      </w:r>
      <w:r w:rsidRPr="00563D62">
        <w:t xml:space="preserve">ner </w:t>
      </w:r>
      <w:r w:rsidR="00570235" w:rsidRPr="00563D62">
        <w:t xml:space="preserve">was </w:t>
      </w:r>
      <w:r w:rsidRPr="00563D62">
        <w:t>u</w:t>
      </w:r>
      <w:r>
        <w:t xml:space="preserve">sed to ensure participants were eligible for the research </w:t>
      </w:r>
      <w:r w:rsidR="00EC1287">
        <w:t>(Appendix 1)</w:t>
      </w:r>
      <w:r w:rsidR="00987028">
        <w:t>. For all groups, recruitment aimed to include a mixture of service providers and advocacy groups, as well as a mix of jurisdictional representation across states and territories. For the regional</w:t>
      </w:r>
      <w:r w:rsidR="006B386B">
        <w:t>/</w:t>
      </w:r>
      <w:r w:rsidR="00987028">
        <w:t xml:space="preserve">remote groups, a mix of organisations </w:t>
      </w:r>
      <w:r w:rsidR="006B386B">
        <w:t>that</w:t>
      </w:r>
      <w:r w:rsidR="00987028">
        <w:t xml:space="preserve"> service both regional and remote areas </w:t>
      </w:r>
      <w:r w:rsidR="00987028" w:rsidRPr="00B51FFE">
        <w:t>w</w:t>
      </w:r>
      <w:r w:rsidR="00B51FFE">
        <w:t>as</w:t>
      </w:r>
      <w:r w:rsidR="00987028" w:rsidRPr="00B51FFE">
        <w:t xml:space="preserve"> also</w:t>
      </w:r>
      <w:r w:rsidR="00987028">
        <w:t xml:space="preserve"> included. </w:t>
      </w:r>
    </w:p>
    <w:p w14:paraId="622AFC88" w14:textId="08FB1506" w:rsidR="00A47C19" w:rsidRDefault="00980285" w:rsidP="00570235">
      <w:pPr>
        <w:pStyle w:val="Bulletlist"/>
        <w:numPr>
          <w:ilvl w:val="0"/>
          <w:numId w:val="0"/>
        </w:numPr>
      </w:pPr>
      <w:r>
        <w:t xml:space="preserve">Participants were recruited via </w:t>
      </w:r>
      <w:r w:rsidR="00AB66C4">
        <w:t xml:space="preserve">contacts provided by DSS and </w:t>
      </w:r>
      <w:r w:rsidR="00B51FFE">
        <w:t xml:space="preserve">through </w:t>
      </w:r>
      <w:r>
        <w:t xml:space="preserve">CIRCA </w:t>
      </w:r>
      <w:r w:rsidR="00B51FFE">
        <w:t>r</w:t>
      </w:r>
      <w:r w:rsidRPr="00B51FFE">
        <w:t xml:space="preserve">esearch </w:t>
      </w:r>
      <w:r w:rsidR="00B51FFE">
        <w:t>c</w:t>
      </w:r>
      <w:r w:rsidRPr="00B51FFE">
        <w:t>onsulta</w:t>
      </w:r>
      <w:r>
        <w:t xml:space="preserve">nts’ networks. </w:t>
      </w:r>
      <w:bookmarkStart w:id="16" w:name="_Toc100156657"/>
      <w:bookmarkStart w:id="17" w:name="_Toc89872650"/>
      <w:bookmarkStart w:id="18" w:name="_Toc96957819"/>
    </w:p>
    <w:p w14:paraId="2626C779" w14:textId="77777777" w:rsidR="00A47C19" w:rsidRDefault="00A47C19" w:rsidP="00570235">
      <w:pPr>
        <w:pStyle w:val="Bulletlist"/>
        <w:numPr>
          <w:ilvl w:val="0"/>
          <w:numId w:val="0"/>
        </w:numPr>
      </w:pPr>
    </w:p>
    <w:p w14:paraId="38BF2D2C" w14:textId="23623C75" w:rsidR="00BE2DB8" w:rsidRDefault="00BE2DB8" w:rsidP="00A47C19">
      <w:pPr>
        <w:pStyle w:val="Heading2"/>
      </w:pPr>
      <w:bookmarkStart w:id="19" w:name="_Toc147910396"/>
      <w:r w:rsidRPr="00A47C19">
        <w:lastRenderedPageBreak/>
        <w:t xml:space="preserve">Focus </w:t>
      </w:r>
      <w:r w:rsidR="00BF1F05">
        <w:t>g</w:t>
      </w:r>
      <w:r w:rsidRPr="00A47C19">
        <w:t>roups</w:t>
      </w:r>
      <w:bookmarkEnd w:id="16"/>
      <w:bookmarkEnd w:id="19"/>
    </w:p>
    <w:p w14:paraId="3DDE56EB" w14:textId="2EC3F173" w:rsidR="00275BC0" w:rsidRDefault="00275BC0" w:rsidP="00275BC0">
      <w:r>
        <w:t>A</w:t>
      </w:r>
      <w:r w:rsidRPr="007A61B5">
        <w:t xml:space="preserve">s </w:t>
      </w:r>
      <w:r w:rsidR="00174783">
        <w:fldChar w:fldCharType="begin"/>
      </w:r>
      <w:r w:rsidR="00174783">
        <w:instrText xml:space="preserve"> REF _Ref130978719 \h </w:instrText>
      </w:r>
      <w:r w:rsidR="00174783">
        <w:fldChar w:fldCharType="separate"/>
      </w:r>
      <w:r w:rsidR="007A3383">
        <w:t xml:space="preserve">Table </w:t>
      </w:r>
      <w:r w:rsidR="007A3383">
        <w:rPr>
          <w:noProof/>
        </w:rPr>
        <w:t>4</w:t>
      </w:r>
      <w:r w:rsidR="00174783">
        <w:fldChar w:fldCharType="end"/>
      </w:r>
      <w:r w:rsidR="00174783">
        <w:t xml:space="preserve"> </w:t>
      </w:r>
      <w:r w:rsidRPr="007A61B5">
        <w:t>shows, 6</w:t>
      </w:r>
      <w:r w:rsidRPr="00216EC7">
        <w:t xml:space="preserve"> f</w:t>
      </w:r>
      <w:r>
        <w:t>ocus groups were conducted a</w:t>
      </w:r>
      <w:r w:rsidRPr="00CD1FAB">
        <w:t>cross cohor</w:t>
      </w:r>
      <w:r>
        <w:t xml:space="preserve">t and </w:t>
      </w:r>
      <w:r w:rsidRPr="007A61B5">
        <w:t>geographic expert</w:t>
      </w:r>
      <w:r>
        <w:t xml:space="preserve">ise, resulting in   36 individual participants. The focus groups were held between 23 February 2023 and 7 March 2023, via Zoom. Each </w:t>
      </w:r>
      <w:r w:rsidR="007A61B5">
        <w:t>session</w:t>
      </w:r>
      <w:r>
        <w:t xml:space="preserve"> lasted approximately 90 minutes. </w:t>
      </w:r>
    </w:p>
    <w:p w14:paraId="4651A074" w14:textId="2413E0FB" w:rsidR="00275BC0" w:rsidRDefault="00CD1FAB" w:rsidP="00275BC0">
      <w:r>
        <w:t>A</w:t>
      </w:r>
      <w:r w:rsidR="00275BC0">
        <w:t xml:space="preserve"> team of CIRCA research consultants</w:t>
      </w:r>
      <w:r>
        <w:t xml:space="preserve"> facilitated the discussions in English</w:t>
      </w:r>
      <w:r w:rsidR="00275BC0">
        <w:t>. Each research participant received a copy of th</w:t>
      </w:r>
      <w:r w:rsidR="00275BC0" w:rsidRPr="00CD1FAB">
        <w:t>e Participan</w:t>
      </w:r>
      <w:r w:rsidR="00275BC0">
        <w:t xml:space="preserve">t Information Statement </w:t>
      </w:r>
      <w:r w:rsidR="007211C6">
        <w:t>(Appendix 2)</w:t>
      </w:r>
      <w:r w:rsidR="00275BC0">
        <w:t xml:space="preserve">. </w:t>
      </w:r>
      <w:r>
        <w:t xml:space="preserve">After they had </w:t>
      </w:r>
      <w:r w:rsidR="00275BC0">
        <w:t>read and understood</w:t>
      </w:r>
      <w:r>
        <w:t xml:space="preserve"> this</w:t>
      </w:r>
      <w:r w:rsidR="00275BC0">
        <w:t>, and answered</w:t>
      </w:r>
      <w:r>
        <w:t xml:space="preserve"> all questions</w:t>
      </w:r>
      <w:r w:rsidR="00275BC0">
        <w:t xml:space="preserve">, the participants were then asked to verbally confirm their consent, which was audio-recorded. </w:t>
      </w:r>
    </w:p>
    <w:p w14:paraId="495AE6A4" w14:textId="23496FAD" w:rsidR="000E4521" w:rsidRPr="000E4521" w:rsidRDefault="00BE2DB8" w:rsidP="000E4521">
      <w:r>
        <w:t xml:space="preserve">The Discussion Guide </w:t>
      </w:r>
      <w:r w:rsidR="007211C6">
        <w:t>(Appendix 3)</w:t>
      </w:r>
      <w:r>
        <w:t xml:space="preserve"> </w:t>
      </w:r>
      <w:r w:rsidR="00852F10">
        <w:t>used by CIRCA research consultants</w:t>
      </w:r>
      <w:r w:rsidR="00987028">
        <w:t xml:space="preserve"> </w:t>
      </w:r>
      <w:r w:rsidR="008B49C3">
        <w:t xml:space="preserve">covered </w:t>
      </w:r>
      <w:r w:rsidR="00987028">
        <w:t>topics</w:t>
      </w:r>
      <w:r>
        <w:t xml:space="preserve"> includ</w:t>
      </w:r>
      <w:r w:rsidR="00987028">
        <w:t>ing</w:t>
      </w:r>
      <w:r w:rsidR="009415B0">
        <w:t xml:space="preserve"> the recommended physical design and cultural features needed in emergency housin</w:t>
      </w:r>
      <w:r w:rsidR="009415B0" w:rsidRPr="00CD1FAB">
        <w:t>g, provisio</w:t>
      </w:r>
      <w:r w:rsidR="009415B0">
        <w:t>n of services, and guidance on selecting and supporting appropriate grant application</w:t>
      </w:r>
      <w:r w:rsidR="009415B0" w:rsidRPr="00CD1FAB">
        <w:t>s</w:t>
      </w:r>
      <w:r w:rsidR="00987028" w:rsidRPr="00CD1FAB">
        <w:t>.</w:t>
      </w:r>
      <w:r w:rsidR="006B7BCC" w:rsidRPr="00CD1FAB">
        <w:t xml:space="preserve"> </w:t>
      </w:r>
      <w:r w:rsidR="00CD1FAB">
        <w:t>The research consultants showed a</w:t>
      </w:r>
      <w:r w:rsidR="006B7BCC" w:rsidRPr="00CD1FAB">
        <w:t xml:space="preserve"> sti</w:t>
      </w:r>
      <w:r w:rsidR="006B7BCC">
        <w:t>mulus to the participants to provide more information around some of the topics</w:t>
      </w:r>
      <w:r w:rsidR="007211C6">
        <w:t xml:space="preserve"> (Appendix 4)</w:t>
      </w:r>
      <w:r w:rsidR="003676FF">
        <w:t>.</w:t>
      </w:r>
      <w:r w:rsidR="000E4521">
        <w:t xml:space="preserve"> </w:t>
      </w:r>
      <w:r>
        <w:t xml:space="preserve">Each participant </w:t>
      </w:r>
      <w:r w:rsidR="00C15B8E">
        <w:t xml:space="preserve">received </w:t>
      </w:r>
      <w:r w:rsidRPr="00C15B8E">
        <w:t xml:space="preserve">an incentive payment of </w:t>
      </w:r>
      <w:r w:rsidR="002434F9" w:rsidRPr="00C15B8E">
        <w:t xml:space="preserve">$80 </w:t>
      </w:r>
      <w:r w:rsidRPr="00C15B8E">
        <w:t>to thank and compensate them for their time.</w:t>
      </w:r>
      <w:bookmarkEnd w:id="17"/>
      <w:bookmarkEnd w:id="18"/>
    </w:p>
    <w:p w14:paraId="12D85F5F" w14:textId="7BB7C362" w:rsidR="00F71BA3" w:rsidRPr="000E4521" w:rsidRDefault="00F71BA3" w:rsidP="000E4521">
      <w:pPr>
        <w:pStyle w:val="Heading2"/>
      </w:pPr>
      <w:bookmarkStart w:id="20" w:name="_Toc147910397"/>
      <w:r w:rsidRPr="000E4521">
        <w:t>Data analysis</w:t>
      </w:r>
      <w:bookmarkEnd w:id="20"/>
    </w:p>
    <w:p w14:paraId="11CF784F" w14:textId="77777777" w:rsidR="006B626F" w:rsidRDefault="00C84C23" w:rsidP="00C84C23">
      <w:pPr>
        <w:rPr>
          <w:lang w:val="en-GB" w:bidi="en-US"/>
        </w:rPr>
      </w:pPr>
      <w:r>
        <w:rPr>
          <w:lang w:val="en-GB" w:bidi="en-US"/>
        </w:rPr>
        <w:t>Focus group notes and transcripts were</w:t>
      </w:r>
      <w:r w:rsidR="00194BCE">
        <w:rPr>
          <w:lang w:val="en-GB" w:bidi="en-US"/>
        </w:rPr>
        <w:t xml:space="preserve"> analysed using NVivo</w:t>
      </w:r>
      <w:r>
        <w:rPr>
          <w:lang w:val="en-GB" w:bidi="en-US"/>
        </w:rPr>
        <w:t>. A coding framework was generated based on the research questions, complete with definitions. The coding framework was then reviewed and approved by the CIRCA Research Director.</w:t>
      </w:r>
    </w:p>
    <w:p w14:paraId="5F473C66" w14:textId="77777777" w:rsidR="00C84C23" w:rsidRDefault="00C84C23" w:rsidP="00C84C23">
      <w:pPr>
        <w:rPr>
          <w:lang w:val="en-GB" w:bidi="en-US"/>
        </w:rPr>
      </w:pPr>
      <w:r>
        <w:rPr>
          <w:lang w:val="en-GB" w:bidi="en-US"/>
        </w:rPr>
        <w:t xml:space="preserve">The data was then coded in </w:t>
      </w:r>
      <w:r w:rsidR="00165F43">
        <w:rPr>
          <w:lang w:val="en-GB" w:bidi="en-US"/>
        </w:rPr>
        <w:t xml:space="preserve">NVivo and analysed aligning to each of the research questions. </w:t>
      </w:r>
    </w:p>
    <w:p w14:paraId="4AE4FCC1" w14:textId="77777777" w:rsidR="003C7910" w:rsidRDefault="00374D67" w:rsidP="00374D67">
      <w:pPr>
        <w:pStyle w:val="Heading2"/>
      </w:pPr>
      <w:bookmarkStart w:id="21" w:name="_Toc147910398"/>
      <w:r>
        <w:t>Limitations</w:t>
      </w:r>
      <w:bookmarkEnd w:id="21"/>
    </w:p>
    <w:p w14:paraId="0EB0B573" w14:textId="2ED1AE0C" w:rsidR="00A47C19" w:rsidRDefault="0094108A" w:rsidP="00374D67">
      <w:r>
        <w:t xml:space="preserve">CIRCA research consultants </w:t>
      </w:r>
      <w:r w:rsidR="00C15B8E">
        <w:t>met</w:t>
      </w:r>
      <w:r>
        <w:t xml:space="preserve"> challenges r</w:t>
      </w:r>
      <w:r w:rsidR="00E5428D">
        <w:t xml:space="preserve">ecruiting stakeholders with expertise in </w:t>
      </w:r>
      <w:r w:rsidR="00E5428D" w:rsidRPr="00C15B8E">
        <w:t>urban areas for the First Nations groups</w:t>
      </w:r>
      <w:r w:rsidRPr="00C15B8E">
        <w:t xml:space="preserve">, </w:t>
      </w:r>
      <w:r w:rsidR="00C15B8E">
        <w:t>which</w:t>
      </w:r>
      <w:r w:rsidR="00E5428D" w:rsidRPr="00C15B8E">
        <w:t xml:space="preserve"> resulted in </w:t>
      </w:r>
      <w:r w:rsidR="002F6300" w:rsidRPr="00C15B8E">
        <w:t>both First</w:t>
      </w:r>
      <w:r w:rsidR="00E5428D" w:rsidRPr="00C15B8E">
        <w:t xml:space="preserve"> Nations groups including </w:t>
      </w:r>
      <w:r w:rsidR="002F6300" w:rsidRPr="00C15B8E">
        <w:t xml:space="preserve">only </w:t>
      </w:r>
      <w:r w:rsidR="00E5428D" w:rsidRPr="00C15B8E">
        <w:t>those</w:t>
      </w:r>
      <w:r w:rsidR="00E5428D">
        <w:t xml:space="preserve"> who specialise in regional or remote </w:t>
      </w:r>
      <w:r w:rsidR="00DB0B4D">
        <w:t xml:space="preserve">service delivery or advocacy. </w:t>
      </w:r>
      <w:r w:rsidR="002F6300">
        <w:t>Nonetheless</w:t>
      </w:r>
      <w:r w:rsidR="00DB0B4D">
        <w:t>, these groups yield</w:t>
      </w:r>
      <w:r w:rsidR="003676FF">
        <w:t>ed</w:t>
      </w:r>
      <w:r w:rsidR="00DB0B4D">
        <w:t xml:space="preserve"> rich insights into the needs of women and children in emergency accommodation, a</w:t>
      </w:r>
      <w:r w:rsidR="00C15B8E">
        <w:t>nd in</w:t>
      </w:r>
      <w:r w:rsidR="00DB0B4D" w:rsidRPr="00C15B8E">
        <w:t xml:space="preserve"> h</w:t>
      </w:r>
      <w:r w:rsidR="00DB0B4D">
        <w:t xml:space="preserve">ow the government can support smaller organisations based outside urban centres. </w:t>
      </w:r>
    </w:p>
    <w:p w14:paraId="2C2DC396" w14:textId="7C4EBBD5" w:rsidR="00A90C6D" w:rsidRDefault="00374D67" w:rsidP="00374D67">
      <w:r w:rsidRPr="008A5116">
        <w:t xml:space="preserve">Qualitative research </w:t>
      </w:r>
      <w:r w:rsidR="008A5116">
        <w:t>can</w:t>
      </w:r>
      <w:r w:rsidRPr="008A5116">
        <w:t xml:space="preserve"> provide rich descriptions of how people experience and feel about</w:t>
      </w:r>
      <w:r w:rsidRPr="007D6BC5">
        <w:t xml:space="preserve"> a given </w:t>
      </w:r>
      <w:r w:rsidR="0094108A">
        <w:t>issue or topic</w:t>
      </w:r>
      <w:r w:rsidRPr="007D6BC5">
        <w:t xml:space="preserve">. </w:t>
      </w:r>
      <w:r w:rsidR="008A5116">
        <w:t>However</w:t>
      </w:r>
      <w:r w:rsidR="00051BFE">
        <w:t>,</w:t>
      </w:r>
      <w:r w:rsidR="008A5116">
        <w:t xml:space="preserve"> t</w:t>
      </w:r>
      <w:r w:rsidRPr="007D6BC5">
        <w:t>he results of qualitative research are not representative of the overall target population</w:t>
      </w:r>
      <w:r w:rsidR="0094108A">
        <w:t xml:space="preserve"> </w:t>
      </w:r>
      <w:r w:rsidRPr="007D6BC5">
        <w:t>due to relatively small sample size</w:t>
      </w:r>
      <w:r w:rsidR="008A5116">
        <w:t>s</w:t>
      </w:r>
      <w:r w:rsidRPr="007D6BC5">
        <w:t xml:space="preserve"> and selection</w:t>
      </w:r>
      <w:r w:rsidR="008A5116">
        <w:t xml:space="preserve"> methods</w:t>
      </w:r>
      <w:r w:rsidRPr="007D6BC5">
        <w:t xml:space="preserve">. In qualitative research, a rich and complex understanding is prioritised over collecting data that can be generalised more broadly. Qualitative </w:t>
      </w:r>
      <w:r w:rsidRPr="008A5116">
        <w:t xml:space="preserve">enquiry also allows </w:t>
      </w:r>
      <w:r w:rsidR="009358A1">
        <w:t xml:space="preserve">researchers to incorporate </w:t>
      </w:r>
      <w:r w:rsidRPr="008A5116">
        <w:t>non-verbal cues, interactions and observatio</w:t>
      </w:r>
      <w:r w:rsidRPr="009358A1">
        <w:t xml:space="preserve">ns </w:t>
      </w:r>
      <w:r w:rsidRPr="008A5116">
        <w:t>into the</w:t>
      </w:r>
      <w:r w:rsidRPr="007D6BC5">
        <w:t xml:space="preserve"> research process </w:t>
      </w:r>
      <w:r w:rsidR="009358A1">
        <w:t>to</w:t>
      </w:r>
      <w:r w:rsidRPr="007D6BC5">
        <w:t xml:space="preserve"> add meaning to the results.</w:t>
      </w:r>
      <w:r w:rsidR="00A90C6D">
        <w:br w:type="page"/>
      </w:r>
    </w:p>
    <w:p w14:paraId="06BE0053" w14:textId="5B1E642C" w:rsidR="00335C15" w:rsidRDefault="00335C15" w:rsidP="00335C15">
      <w:pPr>
        <w:pStyle w:val="Heading2"/>
      </w:pPr>
      <w:bookmarkStart w:id="22" w:name="_Toc147910399"/>
      <w:r>
        <w:lastRenderedPageBreak/>
        <w:t>Lessons learned</w:t>
      </w:r>
      <w:bookmarkEnd w:id="22"/>
    </w:p>
    <w:p w14:paraId="1F0D1ACC" w14:textId="155FFC29" w:rsidR="009940B6" w:rsidRDefault="000F4F02" w:rsidP="00B13D01">
      <w:r>
        <w:t>S</w:t>
      </w:r>
      <w:r w:rsidR="00B13D01" w:rsidRPr="008A5116">
        <w:t>ome of the</w:t>
      </w:r>
      <w:r w:rsidR="000414DA" w:rsidRPr="008A5116">
        <w:t xml:space="preserve"> difficulties encountered in recruitment</w:t>
      </w:r>
      <w:r>
        <w:t xml:space="preserve"> provided </w:t>
      </w:r>
      <w:r w:rsidR="000414DA" w:rsidRPr="008A5116">
        <w:t>lesson</w:t>
      </w:r>
      <w:r w:rsidR="0083049E" w:rsidRPr="008A5116">
        <w:t>s</w:t>
      </w:r>
      <w:r w:rsidR="00B13D01" w:rsidRPr="008A5116">
        <w:t xml:space="preserve"> </w:t>
      </w:r>
      <w:r>
        <w:t xml:space="preserve">for future projects. </w:t>
      </w:r>
      <w:r w:rsidR="00B13D01">
        <w:t xml:space="preserve"> </w:t>
      </w:r>
    </w:p>
    <w:p w14:paraId="5BB92B59" w14:textId="31A1C94E" w:rsidR="009940B6" w:rsidRDefault="009940B6" w:rsidP="00B13D01">
      <w:pPr>
        <w:pStyle w:val="Bulletlist"/>
      </w:pPr>
      <w:r w:rsidRPr="009358A1">
        <w:t>R</w:t>
      </w:r>
      <w:r w:rsidR="0083049E" w:rsidRPr="009358A1">
        <w:t xml:space="preserve">ecruiting and scheduling </w:t>
      </w:r>
      <w:r w:rsidR="009358A1">
        <w:t xml:space="preserve">of </w:t>
      </w:r>
      <w:r w:rsidR="0083049E" w:rsidRPr="009358A1">
        <w:t>consultations with sector stakeholders require</w:t>
      </w:r>
      <w:r w:rsidR="0094108A" w:rsidRPr="009358A1">
        <w:t xml:space="preserve">s </w:t>
      </w:r>
      <w:r w:rsidR="009358A1">
        <w:t xml:space="preserve">that </w:t>
      </w:r>
      <w:r w:rsidR="0094108A" w:rsidRPr="009358A1">
        <w:t>enough</w:t>
      </w:r>
      <w:r w:rsidR="0083049E" w:rsidRPr="009358A1">
        <w:t xml:space="preserve"> time</w:t>
      </w:r>
      <w:r w:rsidR="0094108A" w:rsidRPr="009358A1">
        <w:t xml:space="preserve"> </w:t>
      </w:r>
      <w:r w:rsidR="008F4FAE" w:rsidRPr="009358A1">
        <w:t>be allowed</w:t>
      </w:r>
      <w:r w:rsidR="008F4FAE">
        <w:t xml:space="preserve"> </w:t>
      </w:r>
      <w:r w:rsidR="0094108A">
        <w:t xml:space="preserve">to accommodate the busy schedules </w:t>
      </w:r>
      <w:r w:rsidR="0083049E">
        <w:t xml:space="preserve">of those working in the sector, and </w:t>
      </w:r>
      <w:r w:rsidR="0094108A">
        <w:t xml:space="preserve">the challenges of </w:t>
      </w:r>
      <w:r w:rsidR="0094108A" w:rsidRPr="009358A1">
        <w:t>reaching</w:t>
      </w:r>
      <w:r w:rsidR="0083049E" w:rsidRPr="009358A1">
        <w:t xml:space="preserve"> eligible and interested potential participants. </w:t>
      </w:r>
      <w:r w:rsidR="00185FA3">
        <w:t>Ultimately, w</w:t>
      </w:r>
      <w:r w:rsidR="0094108A" w:rsidRPr="009358A1">
        <w:t>e found that five weeks was enough time for this aspect of the project</w:t>
      </w:r>
      <w:r w:rsidR="00185FA3">
        <w:t xml:space="preserve">, and completing this in less time would have proved difficult to recruit and schedule potential participants. </w:t>
      </w:r>
    </w:p>
    <w:p w14:paraId="232E2B31" w14:textId="223E444E" w:rsidR="009940B6" w:rsidRDefault="009940B6" w:rsidP="00B13D01">
      <w:pPr>
        <w:pStyle w:val="Bulletlist"/>
      </w:pPr>
      <w:r>
        <w:t>Individuals initially contacted or identified may not be the right fit to participate in the consultation – they may be ineligible, not quite have the knowledge or expertise to participate, or be unavailable. It is important</w:t>
      </w:r>
      <w:r w:rsidR="008A5116">
        <w:t xml:space="preserve"> therefore</w:t>
      </w:r>
      <w:r>
        <w:t xml:space="preserve"> to </w:t>
      </w:r>
      <w:r w:rsidR="0094108A">
        <w:t xml:space="preserve">allow </w:t>
      </w:r>
      <w:r w:rsidR="008A5116">
        <w:t xml:space="preserve">time </w:t>
      </w:r>
      <w:r w:rsidR="0094108A">
        <w:t>for</w:t>
      </w:r>
      <w:r w:rsidR="00B4687A">
        <w:t xml:space="preserve"> those </w:t>
      </w:r>
      <w:r w:rsidR="0094108A">
        <w:t xml:space="preserve">initially </w:t>
      </w:r>
      <w:r w:rsidR="00B4687A">
        <w:t xml:space="preserve">contacted to forward the invitation on to someone </w:t>
      </w:r>
      <w:r>
        <w:t>they think will be a better fit</w:t>
      </w:r>
      <w:r w:rsidR="00B4687A">
        <w:t xml:space="preserve">. </w:t>
      </w:r>
      <w:r>
        <w:t xml:space="preserve">This is particularly important if the list of initial contacts </w:t>
      </w:r>
      <w:r w:rsidR="000414DA">
        <w:t>consist</w:t>
      </w:r>
      <w:r w:rsidR="00073F77">
        <w:t>s</w:t>
      </w:r>
      <w:r w:rsidR="000414DA">
        <w:t xml:space="preserve"> largely of CEOs</w:t>
      </w:r>
      <w:r>
        <w:t xml:space="preserve">. </w:t>
      </w:r>
    </w:p>
    <w:p w14:paraId="06BEA141" w14:textId="77777777" w:rsidR="009940B6" w:rsidRDefault="009940B6" w:rsidP="00544CCB">
      <w:pPr>
        <w:pStyle w:val="Bulletlist"/>
      </w:pPr>
      <w:r>
        <w:t>When reaching out to CEOs</w:t>
      </w:r>
      <w:r w:rsidR="00B4687A">
        <w:t>, it is important to send an email ahead of a phone call</w:t>
      </w:r>
      <w:r w:rsidR="00B13D01">
        <w:t>.</w:t>
      </w:r>
      <w:r w:rsidR="00B4687A">
        <w:t xml:space="preserve"> </w:t>
      </w:r>
    </w:p>
    <w:p w14:paraId="773EFA18" w14:textId="7F721F5F" w:rsidR="00B56DD6" w:rsidRDefault="008F4FAE" w:rsidP="00544CCB">
      <w:pPr>
        <w:pStyle w:val="Bulletlist"/>
      </w:pPr>
      <w:r>
        <w:t>R</w:t>
      </w:r>
      <w:r w:rsidR="009940B6">
        <w:t xml:space="preserve">ecruiting through CIRCA’s </w:t>
      </w:r>
      <w:r w:rsidR="009940B6" w:rsidRPr="009358A1">
        <w:t>own community con</w:t>
      </w:r>
      <w:r w:rsidR="009940B6">
        <w:t>nections and networks facilitated</w:t>
      </w:r>
      <w:r w:rsidR="00B56DD6">
        <w:t xml:space="preserve"> </w:t>
      </w:r>
      <w:r w:rsidR="00B56DD6" w:rsidRPr="008F4FAE">
        <w:t xml:space="preserve">the diversification and expansion of </w:t>
      </w:r>
      <w:r w:rsidR="009940B6" w:rsidRPr="008F4FAE">
        <w:t xml:space="preserve">the </w:t>
      </w:r>
      <w:r w:rsidR="00B56DD6" w:rsidRPr="008F4FAE">
        <w:t>recruitment process</w:t>
      </w:r>
      <w:r w:rsidR="009940B6" w:rsidRPr="008F4FAE">
        <w:t>, as well as timely completion of the</w:t>
      </w:r>
      <w:r w:rsidR="009940B6">
        <w:t xml:space="preserve"> recruitment </w:t>
      </w:r>
      <w:r>
        <w:t>phase</w:t>
      </w:r>
      <w:r w:rsidR="009940B6">
        <w:t xml:space="preserve">. </w:t>
      </w:r>
    </w:p>
    <w:p w14:paraId="766318B3" w14:textId="54C32C80" w:rsidR="00185FA3" w:rsidRPr="00335C15" w:rsidRDefault="00185FA3" w:rsidP="00544CCB">
      <w:pPr>
        <w:pStyle w:val="Bulletlist"/>
      </w:pPr>
      <w:r w:rsidRPr="00185FA3">
        <w:t>Additionally, utilising existing channels of engagement through DSS with specialist sector</w:t>
      </w:r>
      <w:r>
        <w:t xml:space="preserve"> </w:t>
      </w:r>
      <w:r w:rsidRPr="00185FA3">
        <w:t>stakeholders alongside CIRCA recruitment could increase early confirmation of participation.</w:t>
      </w:r>
    </w:p>
    <w:p w14:paraId="72B51DEB" w14:textId="77777777" w:rsidR="00C84C23" w:rsidRDefault="00C84C23" w:rsidP="00374D67"/>
    <w:p w14:paraId="2949A4B4" w14:textId="77777777" w:rsidR="00F71BA3" w:rsidRPr="007F3EEF" w:rsidRDefault="00F71BA3" w:rsidP="00374D67"/>
    <w:p w14:paraId="09404943" w14:textId="77777777" w:rsidR="00374D67" w:rsidRPr="00374D67" w:rsidRDefault="00374D67" w:rsidP="00374D67"/>
    <w:p w14:paraId="024747D7" w14:textId="77777777" w:rsidR="00D51EDF" w:rsidRDefault="00D51EDF" w:rsidP="00D51EDF">
      <w:pPr>
        <w:pStyle w:val="Heading1"/>
      </w:pPr>
      <w:bookmarkStart w:id="23" w:name="_Toc147910400"/>
      <w:r>
        <w:lastRenderedPageBreak/>
        <w:t>Findings</w:t>
      </w:r>
      <w:bookmarkEnd w:id="23"/>
    </w:p>
    <w:p w14:paraId="039BB4F0" w14:textId="3F452551" w:rsidR="00852F10" w:rsidRPr="00852F10" w:rsidRDefault="008F4FAE" w:rsidP="00DE2198">
      <w:r>
        <w:t xml:space="preserve">This section </w:t>
      </w:r>
      <w:r w:rsidR="00256DE6">
        <w:t>presents</w:t>
      </w:r>
      <w:r>
        <w:t xml:space="preserve"> the</w:t>
      </w:r>
      <w:r w:rsidR="00852F10">
        <w:t xml:space="preserve"> </w:t>
      </w:r>
      <w:r>
        <w:t xml:space="preserve">research </w:t>
      </w:r>
      <w:r w:rsidR="00852F10">
        <w:t>findings</w:t>
      </w:r>
      <w:r>
        <w:t xml:space="preserve"> </w:t>
      </w:r>
      <w:r w:rsidR="00852F10">
        <w:t xml:space="preserve">organised </w:t>
      </w:r>
      <w:r w:rsidR="00256DE6">
        <w:t xml:space="preserve">according to </w:t>
      </w:r>
      <w:r w:rsidR="00852F10">
        <w:t xml:space="preserve">the research questions guiding the consultations. </w:t>
      </w:r>
    </w:p>
    <w:p w14:paraId="077906A7" w14:textId="5AB55D08" w:rsidR="00911F15" w:rsidRDefault="002D7651" w:rsidP="00911F15">
      <w:pPr>
        <w:pStyle w:val="Heading2"/>
      </w:pPr>
      <w:bookmarkStart w:id="24" w:name="_Toc147910401"/>
      <w:r w:rsidRPr="00B110D1">
        <w:t xml:space="preserve">What are the physical design </w:t>
      </w:r>
      <w:r>
        <w:t xml:space="preserve">and cultural </w:t>
      </w:r>
      <w:r w:rsidRPr="00B110D1">
        <w:t xml:space="preserve">features needed within emergency accommodation, to support victim-survivor women and children from </w:t>
      </w:r>
      <w:r w:rsidR="00D96A55">
        <w:t>First Nations</w:t>
      </w:r>
      <w:r w:rsidRPr="00B110D1">
        <w:t>, CALD and disability backgrounds?</w:t>
      </w:r>
      <w:bookmarkEnd w:id="24"/>
    </w:p>
    <w:p w14:paraId="4900E643" w14:textId="77777777" w:rsidR="005A4C44" w:rsidRDefault="00F709CA" w:rsidP="005A4C44">
      <w:pPr>
        <w:pStyle w:val="Heading3"/>
      </w:pPr>
      <w:r>
        <w:t>Physical design and cultural features</w:t>
      </w:r>
    </w:p>
    <w:p w14:paraId="428E6C5D" w14:textId="77777777" w:rsidR="00F706FD" w:rsidRDefault="00F706FD" w:rsidP="00F706FD">
      <w:pPr>
        <w:pStyle w:val="Heading4"/>
      </w:pPr>
      <w:r>
        <w:t>Physical design and cultural features relevant for all women and children</w:t>
      </w:r>
    </w:p>
    <w:p w14:paraId="6CDFFE6E" w14:textId="16F6456E" w:rsidR="005A4C44" w:rsidRDefault="005A4C44" w:rsidP="005A4C44">
      <w:r w:rsidRPr="00256DE6">
        <w:t xml:space="preserve">Participants across the </w:t>
      </w:r>
      <w:r w:rsidR="00256DE6" w:rsidRPr="00256DE6">
        <w:t>6</w:t>
      </w:r>
      <w:r w:rsidRPr="00256DE6">
        <w:t xml:space="preserve"> groups gave examples of physical design and cultural features needed to best support women and children in emergency accommodation. </w:t>
      </w:r>
      <w:r w:rsidR="006D0B9F" w:rsidRPr="00256DE6">
        <w:t>Although</w:t>
      </w:r>
      <w:r w:rsidRPr="00256DE6">
        <w:t xml:space="preserve"> the participants represented organisations working with women and children from </w:t>
      </w:r>
      <w:r w:rsidR="00D96A55" w:rsidRPr="00256DE6">
        <w:t>First Nations</w:t>
      </w:r>
      <w:r w:rsidRPr="00256DE6">
        <w:t xml:space="preserve">, CALD and disability backgrounds, many of the examples provided </w:t>
      </w:r>
      <w:r w:rsidR="00DD2ADF">
        <w:t>are</w:t>
      </w:r>
      <w:r w:rsidRPr="00256DE6">
        <w:t xml:space="preserve"> relevant for all women and children in emergency housing, regardless of identity.</w:t>
      </w:r>
      <w:r>
        <w:t xml:space="preserve"> </w:t>
      </w:r>
    </w:p>
    <w:p w14:paraId="6830A936" w14:textId="00D24C0E" w:rsidR="0001389E" w:rsidRDefault="005A4C44" w:rsidP="005A4C44">
      <w:r>
        <w:t xml:space="preserve">These </w:t>
      </w:r>
      <w:r w:rsidRPr="00853BFF">
        <w:rPr>
          <w:b/>
          <w:bCs/>
        </w:rPr>
        <w:t xml:space="preserve">features include physical </w:t>
      </w:r>
      <w:r w:rsidR="0040322D" w:rsidRPr="00853BFF">
        <w:rPr>
          <w:b/>
          <w:bCs/>
        </w:rPr>
        <w:t xml:space="preserve">elements that allow </w:t>
      </w:r>
      <w:r w:rsidR="00EE3924" w:rsidRPr="00853BFF">
        <w:rPr>
          <w:b/>
          <w:bCs/>
        </w:rPr>
        <w:t xml:space="preserve">for the </w:t>
      </w:r>
      <w:r w:rsidR="0040322D" w:rsidRPr="00853BFF">
        <w:rPr>
          <w:b/>
          <w:bCs/>
        </w:rPr>
        <w:t>safety</w:t>
      </w:r>
      <w:r w:rsidR="00EE3924" w:rsidRPr="00853BFF">
        <w:rPr>
          <w:b/>
          <w:bCs/>
        </w:rPr>
        <w:t xml:space="preserve"> of</w:t>
      </w:r>
      <w:r w:rsidR="0040322D" w:rsidRPr="00853BFF">
        <w:rPr>
          <w:b/>
          <w:bCs/>
        </w:rPr>
        <w:t xml:space="preserve"> the resident</w:t>
      </w:r>
      <w:r w:rsidR="0001389E">
        <w:t xml:space="preserve">, such as: </w:t>
      </w:r>
    </w:p>
    <w:p w14:paraId="2DD86225" w14:textId="62FB13DF" w:rsidR="0001389E" w:rsidRDefault="006D0B9F" w:rsidP="0001389E">
      <w:pPr>
        <w:pStyle w:val="Bulletlist"/>
      </w:pPr>
      <w:r>
        <w:t>lockable rooms and security systems</w:t>
      </w:r>
    </w:p>
    <w:p w14:paraId="613A0400" w14:textId="66471112" w:rsidR="008216AC" w:rsidRDefault="006D0B9F" w:rsidP="0001389E">
      <w:pPr>
        <w:pStyle w:val="Bulletlist"/>
      </w:pPr>
      <w:r>
        <w:t>back lane entrance/exit for police access and support (without needin</w:t>
      </w:r>
      <w:r w:rsidRPr="009358A1">
        <w:t>g to be out</w:t>
      </w:r>
      <w:r>
        <w:t xml:space="preserve"> the front of the accommodation) </w:t>
      </w:r>
    </w:p>
    <w:p w14:paraId="09B856AF" w14:textId="36534625" w:rsidR="0001389E" w:rsidRDefault="006D0B9F" w:rsidP="0001389E">
      <w:pPr>
        <w:pStyle w:val="Bulletlist"/>
      </w:pPr>
      <w:r>
        <w:t xml:space="preserve">adequate lighting inside buildings and at entrances </w:t>
      </w:r>
    </w:p>
    <w:p w14:paraId="7FE23383" w14:textId="3CADF1DE" w:rsidR="0001389E" w:rsidRDefault="006D0B9F" w:rsidP="0001389E">
      <w:pPr>
        <w:pStyle w:val="Bulletlist"/>
      </w:pPr>
      <w:r>
        <w:t xml:space="preserve">house number </w:t>
      </w:r>
      <w:r w:rsidR="009358A1">
        <w:t xml:space="preserve">not </w:t>
      </w:r>
      <w:r>
        <w:t>visible at the front</w:t>
      </w:r>
    </w:p>
    <w:p w14:paraId="23DF34C8" w14:textId="653E7183" w:rsidR="005A4C44" w:rsidRDefault="006D0B9F" w:rsidP="0001389E">
      <w:pPr>
        <w:pStyle w:val="Bulletlist"/>
      </w:pPr>
      <w:r>
        <w:t xml:space="preserve">a garage or off-street parking spot for a car, which is not visible from the street </w:t>
      </w:r>
    </w:p>
    <w:p w14:paraId="44F8B0CD" w14:textId="782498B7" w:rsidR="0001389E" w:rsidRDefault="005626FB" w:rsidP="0001389E">
      <w:pPr>
        <w:pStyle w:val="Bulletlist"/>
      </w:pPr>
      <w:r>
        <w:t>minimal</w:t>
      </w:r>
      <w:r w:rsidR="006D0B9F" w:rsidRPr="005626FB">
        <w:t xml:space="preserve"> g</w:t>
      </w:r>
      <w:r w:rsidR="006D0B9F">
        <w:t>lass furniture and kitchenware in the accommodation, which can lead to accidents</w:t>
      </w:r>
    </w:p>
    <w:p w14:paraId="13A381A4" w14:textId="5772E8F2" w:rsidR="00EE3924" w:rsidRDefault="006D0B9F" w:rsidP="0001389E">
      <w:pPr>
        <w:pStyle w:val="Bulletlist"/>
      </w:pPr>
      <w:r>
        <w:t>low-rise buildings with a preference for the ground floor</w:t>
      </w:r>
    </w:p>
    <w:p w14:paraId="02B129E7" w14:textId="307A68A9" w:rsidR="00EE3924" w:rsidRDefault="006D0B9F" w:rsidP="0001389E">
      <w:pPr>
        <w:pStyle w:val="Bulletlist"/>
      </w:pPr>
      <w:r>
        <w:t>less fu</w:t>
      </w:r>
      <w:r w:rsidR="00EE3924">
        <w:t xml:space="preserve">rniture, particularly if someone has a history of mental health issues or </w:t>
      </w:r>
      <w:r w:rsidR="00E37BAE">
        <w:t>self-harm</w:t>
      </w:r>
      <w:r>
        <w:t>.</w:t>
      </w:r>
    </w:p>
    <w:p w14:paraId="006E7558" w14:textId="38984D7E" w:rsidR="0001389E" w:rsidRDefault="00005FD6" w:rsidP="0040322D">
      <w:pPr>
        <w:pStyle w:val="QuoteSmall"/>
        <w:rPr>
          <w:lang w:eastAsia="en-AU"/>
        </w:rPr>
      </w:pPr>
      <w:r>
        <w:rPr>
          <w:lang w:eastAsia="en-AU"/>
        </w:rPr>
        <w:t>‘</w:t>
      </w:r>
      <w:r w:rsidR="0001389E">
        <w:rPr>
          <w:lang w:eastAsia="en-AU"/>
        </w:rPr>
        <w:t xml:space="preserve">[They should] </w:t>
      </w:r>
      <w:r w:rsidR="0001389E" w:rsidRPr="0001389E">
        <w:rPr>
          <w:lang w:eastAsia="en-AU"/>
        </w:rPr>
        <w:t>not show any house numbers on the buildings as the children [who might still have contact with Dad through court orders] might tell him</w:t>
      </w:r>
      <w:r w:rsidR="00AF7EEB">
        <w:rPr>
          <w:lang w:eastAsia="en-AU"/>
        </w:rPr>
        <w:t xml:space="preserve">.’ </w:t>
      </w:r>
      <w:r w:rsidR="0001389E">
        <w:rPr>
          <w:lang w:eastAsia="en-AU"/>
        </w:rPr>
        <w:t xml:space="preserve"> (Stakeholder, CALD, Regional/Remote)</w:t>
      </w:r>
    </w:p>
    <w:p w14:paraId="289866B2" w14:textId="030D17C2" w:rsidR="0040322D" w:rsidRPr="0040322D" w:rsidRDefault="00005FD6" w:rsidP="0040322D">
      <w:pPr>
        <w:pStyle w:val="QuoteSmall"/>
        <w:rPr>
          <w:lang w:eastAsia="en-AU"/>
        </w:rPr>
      </w:pPr>
      <w:r>
        <w:rPr>
          <w:lang w:eastAsia="en-AU"/>
        </w:rPr>
        <w:lastRenderedPageBreak/>
        <w:t>‘</w:t>
      </w:r>
      <w:r w:rsidR="0040322D" w:rsidRPr="0040322D">
        <w:rPr>
          <w:lang w:eastAsia="en-AU"/>
        </w:rPr>
        <w:t>Lighting being an aspect of safety</w:t>
      </w:r>
      <w:r w:rsidR="00CE727B">
        <w:rPr>
          <w:lang w:eastAsia="en-AU"/>
        </w:rPr>
        <w:t xml:space="preserve"> </w:t>
      </w:r>
      <w:r w:rsidR="0040322D">
        <w:rPr>
          <w:lang w:eastAsia="en-AU"/>
        </w:rPr>
        <w:t xml:space="preserve">… </w:t>
      </w:r>
      <w:r w:rsidR="0040322D" w:rsidRPr="0040322D">
        <w:rPr>
          <w:lang w:eastAsia="en-AU"/>
        </w:rPr>
        <w:t>around street entrance and adequate lighting inside buildings</w:t>
      </w:r>
      <w:r w:rsidR="0040322D">
        <w:rPr>
          <w:lang w:eastAsia="en-AU"/>
        </w:rPr>
        <w:t>…</w:t>
      </w:r>
      <w:r w:rsidR="0040322D" w:rsidRPr="0040322D">
        <w:rPr>
          <w:lang w:eastAsia="en-AU"/>
        </w:rPr>
        <w:t>entry and [rear entrances] have an undercover [awning] where a [security] camera can be installed</w:t>
      </w:r>
      <w:r w:rsidR="00AF7EEB">
        <w:rPr>
          <w:lang w:eastAsia="en-AU"/>
        </w:rPr>
        <w:t>.’</w:t>
      </w:r>
      <w:r w:rsidR="0040322D">
        <w:rPr>
          <w:lang w:eastAsia="en-AU"/>
        </w:rPr>
        <w:t xml:space="preserve"> (Stakeholder, CALD, Urban) </w:t>
      </w:r>
    </w:p>
    <w:p w14:paraId="79A87734" w14:textId="77777777" w:rsidR="0040322D" w:rsidRPr="0040322D" w:rsidRDefault="0040322D" w:rsidP="004032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lang w:eastAsia="en-AU"/>
        </w:rPr>
      </w:pPr>
    </w:p>
    <w:p w14:paraId="4EF2089A" w14:textId="6A1CFED9" w:rsidR="008F59AA" w:rsidRDefault="00DD2ADF" w:rsidP="005A4C44">
      <w:r>
        <w:rPr>
          <w:b/>
          <w:bCs/>
        </w:rPr>
        <w:t>Ano</w:t>
      </w:r>
      <w:r w:rsidR="00EE3924" w:rsidRPr="00DD2ADF">
        <w:rPr>
          <w:b/>
          <w:bCs/>
        </w:rPr>
        <w:t xml:space="preserve">ther aspect </w:t>
      </w:r>
      <w:r>
        <w:rPr>
          <w:b/>
          <w:bCs/>
        </w:rPr>
        <w:t xml:space="preserve">required </w:t>
      </w:r>
      <w:r w:rsidR="00EE3924" w:rsidRPr="00DD2ADF">
        <w:rPr>
          <w:b/>
          <w:bCs/>
        </w:rPr>
        <w:t>of appropriate emergency accommodation</w:t>
      </w:r>
      <w:r w:rsidR="00E37BAE" w:rsidRPr="00DD2ADF">
        <w:rPr>
          <w:b/>
          <w:bCs/>
        </w:rPr>
        <w:t xml:space="preserve"> </w:t>
      </w:r>
      <w:r>
        <w:rPr>
          <w:b/>
          <w:bCs/>
        </w:rPr>
        <w:t>is</w:t>
      </w:r>
      <w:r w:rsidR="00E37BAE" w:rsidRPr="00DD2ADF">
        <w:rPr>
          <w:b/>
          <w:bCs/>
        </w:rPr>
        <w:t xml:space="preserve"> that the space</w:t>
      </w:r>
      <w:r>
        <w:rPr>
          <w:b/>
          <w:bCs/>
        </w:rPr>
        <w:t>s</w:t>
      </w:r>
      <w:r w:rsidR="00E37BAE" w:rsidRPr="00DD2ADF">
        <w:rPr>
          <w:b/>
          <w:bCs/>
        </w:rPr>
        <w:t xml:space="preserve"> </w:t>
      </w:r>
      <w:r>
        <w:rPr>
          <w:b/>
          <w:bCs/>
        </w:rPr>
        <w:t>are</w:t>
      </w:r>
      <w:r w:rsidR="00E37BAE" w:rsidRPr="00853BFF">
        <w:rPr>
          <w:b/>
          <w:bCs/>
        </w:rPr>
        <w:t xml:space="preserve"> comfortable</w:t>
      </w:r>
      <w:r w:rsidR="008F59AA" w:rsidRPr="00853BFF">
        <w:rPr>
          <w:b/>
          <w:bCs/>
        </w:rPr>
        <w:t xml:space="preserve"> and</w:t>
      </w:r>
      <w:r w:rsidR="00E37BAE" w:rsidRPr="00853BFF">
        <w:rPr>
          <w:b/>
          <w:bCs/>
        </w:rPr>
        <w:t xml:space="preserve"> homely</w:t>
      </w:r>
      <w:r w:rsidR="008F59AA">
        <w:t>, wh</w:t>
      </w:r>
      <w:r w:rsidR="008F59AA" w:rsidRPr="00844A8D">
        <w:t>ere pe</w:t>
      </w:r>
      <w:r w:rsidR="008F59AA">
        <w:t xml:space="preserve">ople feel they can rest and belong. One stakeholder with expertise in disability raised the need to keep the design simple to prevent the physical environment from being overwhelming as the women and children are navigating an already complex situation. </w:t>
      </w:r>
    </w:p>
    <w:p w14:paraId="3640E42C" w14:textId="7569A890" w:rsidR="008F59AA" w:rsidRDefault="00005FD6" w:rsidP="008F59AA">
      <w:pPr>
        <w:pStyle w:val="QuoteSmall"/>
        <w:rPr>
          <w:lang w:eastAsia="en-AU"/>
        </w:rPr>
      </w:pPr>
      <w:r>
        <w:rPr>
          <w:lang w:eastAsia="en-AU"/>
        </w:rPr>
        <w:t>‘</w:t>
      </w:r>
      <w:r w:rsidR="008F59AA" w:rsidRPr="008F59AA">
        <w:rPr>
          <w:lang w:eastAsia="en-AU"/>
        </w:rPr>
        <w:t>The room designs should be as hom</w:t>
      </w:r>
      <w:r w:rsidR="008F59AA">
        <w:rPr>
          <w:lang w:eastAsia="en-AU"/>
        </w:rPr>
        <w:t>ely</w:t>
      </w:r>
      <w:r w:rsidR="008F59AA" w:rsidRPr="008F59AA">
        <w:rPr>
          <w:lang w:eastAsia="en-AU"/>
        </w:rPr>
        <w:t xml:space="preserve"> as possible to allow women and children feel a sense of normalcy even</w:t>
      </w:r>
      <w:r w:rsidR="008F59AA">
        <w:rPr>
          <w:lang w:eastAsia="en-AU"/>
        </w:rPr>
        <w:t xml:space="preserve"> as</w:t>
      </w:r>
      <w:r w:rsidR="008F59AA" w:rsidRPr="008F59AA">
        <w:rPr>
          <w:lang w:eastAsia="en-AU"/>
        </w:rPr>
        <w:t xml:space="preserve"> they flee the family home</w:t>
      </w:r>
      <w:r w:rsidR="00AF7EEB">
        <w:rPr>
          <w:lang w:eastAsia="en-AU"/>
        </w:rPr>
        <w:t>.’</w:t>
      </w:r>
      <w:r w:rsidR="008F59AA">
        <w:rPr>
          <w:lang w:eastAsia="en-AU"/>
        </w:rPr>
        <w:t xml:space="preserve"> (Stakeholder, Disability, Regional/Remote)</w:t>
      </w:r>
    </w:p>
    <w:p w14:paraId="727E38DC" w14:textId="77777777" w:rsidR="008F59AA" w:rsidRDefault="008F59AA" w:rsidP="008F59AA">
      <w:pPr>
        <w:pStyle w:val="QuoteSmall"/>
        <w:rPr>
          <w:lang w:eastAsia="en-AU"/>
        </w:rPr>
      </w:pPr>
    </w:p>
    <w:p w14:paraId="6F5837B2" w14:textId="7174A56E" w:rsidR="008F59AA" w:rsidRDefault="00005FD6" w:rsidP="008F59AA">
      <w:pPr>
        <w:pStyle w:val="QuoteSmall"/>
        <w:rPr>
          <w:lang w:eastAsia="en-AU"/>
        </w:rPr>
      </w:pPr>
      <w:r>
        <w:rPr>
          <w:lang w:eastAsia="en-AU"/>
        </w:rPr>
        <w:t>‘</w:t>
      </w:r>
      <w:r w:rsidR="008F59AA">
        <w:rPr>
          <w:lang w:eastAsia="en-AU"/>
        </w:rPr>
        <w:t>T</w:t>
      </w:r>
      <w:r w:rsidR="008F59AA" w:rsidRPr="008F59AA">
        <w:rPr>
          <w:lang w:eastAsia="en-AU"/>
        </w:rPr>
        <w:t>here's a kitchen that looks like a kitchen, not an office building</w:t>
      </w:r>
      <w:r w:rsidR="00CE727B">
        <w:rPr>
          <w:lang w:eastAsia="en-AU"/>
        </w:rPr>
        <w:t xml:space="preserve"> … </w:t>
      </w:r>
      <w:r w:rsidR="008F59AA">
        <w:rPr>
          <w:lang w:eastAsia="en-AU"/>
        </w:rPr>
        <w:t>t</w:t>
      </w:r>
      <w:r w:rsidR="008F59AA" w:rsidRPr="008F59AA">
        <w:rPr>
          <w:lang w:eastAsia="en-AU"/>
        </w:rPr>
        <w:t xml:space="preserve">hose are things that help children maintain </w:t>
      </w:r>
      <w:r w:rsidR="008F59AA">
        <w:rPr>
          <w:lang w:eastAsia="en-AU"/>
        </w:rPr>
        <w:t>a</w:t>
      </w:r>
      <w:r w:rsidR="008F59AA" w:rsidRPr="008F59AA">
        <w:rPr>
          <w:lang w:eastAsia="en-AU"/>
        </w:rPr>
        <w:t xml:space="preserve"> sense of normalcy, even though they're living in a</w:t>
      </w:r>
      <w:r w:rsidR="008F59AA">
        <w:rPr>
          <w:lang w:eastAsia="en-AU"/>
        </w:rPr>
        <w:t xml:space="preserve">n </w:t>
      </w:r>
      <w:r w:rsidR="008F59AA" w:rsidRPr="008F59AA">
        <w:rPr>
          <w:lang w:eastAsia="en-AU"/>
        </w:rPr>
        <w:t>abnormal situation</w:t>
      </w:r>
      <w:r w:rsidR="00AF7EEB">
        <w:rPr>
          <w:lang w:eastAsia="en-AU"/>
        </w:rPr>
        <w:t>.’</w:t>
      </w:r>
      <w:r w:rsidR="008F59AA">
        <w:rPr>
          <w:lang w:eastAsia="en-AU"/>
        </w:rPr>
        <w:t xml:space="preserve"> (Stakeholder, Disability, Regional/Remote)</w:t>
      </w:r>
    </w:p>
    <w:p w14:paraId="265D9789" w14:textId="77777777" w:rsidR="008F59AA" w:rsidRDefault="008F59AA" w:rsidP="008F59AA">
      <w:pPr>
        <w:pStyle w:val="QuoteSmall"/>
        <w:rPr>
          <w:lang w:eastAsia="en-AU"/>
        </w:rPr>
      </w:pPr>
    </w:p>
    <w:p w14:paraId="6F8B1D96" w14:textId="1F2DDD52" w:rsidR="008F59AA" w:rsidRPr="00E37BAE" w:rsidRDefault="00005FD6" w:rsidP="008F59AA">
      <w:pPr>
        <w:pStyle w:val="QuoteSmall"/>
        <w:rPr>
          <w:lang w:eastAsia="en-AU"/>
        </w:rPr>
      </w:pPr>
      <w:r>
        <w:rPr>
          <w:lang w:eastAsia="en-AU"/>
        </w:rPr>
        <w:t>‘</w:t>
      </w:r>
      <w:r w:rsidR="008F59AA" w:rsidRPr="008F59AA">
        <w:rPr>
          <w:lang w:eastAsia="en-AU"/>
        </w:rPr>
        <w:t>I think sometimes it’s about keeping it simple. In particular</w:t>
      </w:r>
      <w:r w:rsidR="00F706FD">
        <w:rPr>
          <w:lang w:eastAsia="en-AU"/>
        </w:rPr>
        <w:t xml:space="preserve"> a</w:t>
      </w:r>
      <w:r w:rsidR="008F59AA" w:rsidRPr="008F59AA">
        <w:rPr>
          <w:lang w:eastAsia="en-AU"/>
        </w:rPr>
        <w:t>fter going through trauma</w:t>
      </w:r>
      <w:r w:rsidR="00CE727B">
        <w:rPr>
          <w:lang w:eastAsia="en-AU"/>
        </w:rPr>
        <w:t xml:space="preserve"> … </w:t>
      </w:r>
      <w:r w:rsidR="008F59AA" w:rsidRPr="008F59AA">
        <w:rPr>
          <w:lang w:eastAsia="en-AU"/>
        </w:rPr>
        <w:t xml:space="preserve"> domestic violence, or PTSD, you go into these sort of accommodation places</w:t>
      </w:r>
      <w:r w:rsidR="00AF7EEB">
        <w:rPr>
          <w:lang w:eastAsia="en-AU"/>
        </w:rPr>
        <w:t>.’</w:t>
      </w:r>
      <w:r w:rsidR="00005ED2">
        <w:rPr>
          <w:lang w:eastAsia="en-AU"/>
        </w:rPr>
        <w:t xml:space="preserve"> (</w:t>
      </w:r>
      <w:r w:rsidR="008F59AA">
        <w:rPr>
          <w:lang w:eastAsia="en-AU"/>
        </w:rPr>
        <w:t>Stakeholder, Disability, Urban)</w:t>
      </w:r>
    </w:p>
    <w:p w14:paraId="46FAF3E2" w14:textId="77777777" w:rsidR="008F59AA" w:rsidRDefault="008F59AA" w:rsidP="005A4C44"/>
    <w:p w14:paraId="246B10A0" w14:textId="2DA6E54D" w:rsidR="004756D6" w:rsidRDefault="00F829A0" w:rsidP="005A4C44">
      <w:r w:rsidRPr="004756D6">
        <w:rPr>
          <w:b/>
          <w:bCs/>
        </w:rPr>
        <w:t xml:space="preserve">Participants commonly raised the importance </w:t>
      </w:r>
      <w:r w:rsidR="00844A8D">
        <w:rPr>
          <w:b/>
          <w:bCs/>
        </w:rPr>
        <w:t>of</w:t>
      </w:r>
      <w:r w:rsidRPr="004756D6">
        <w:rPr>
          <w:b/>
          <w:bCs/>
        </w:rPr>
        <w:t xml:space="preserve"> wom</w:t>
      </w:r>
      <w:r w:rsidRPr="005626FB">
        <w:rPr>
          <w:b/>
          <w:bCs/>
        </w:rPr>
        <w:t>en and children ha</w:t>
      </w:r>
      <w:r w:rsidRPr="00844A8D">
        <w:rPr>
          <w:b/>
          <w:bCs/>
        </w:rPr>
        <w:t>v</w:t>
      </w:r>
      <w:r w:rsidR="00844A8D">
        <w:rPr>
          <w:b/>
          <w:bCs/>
        </w:rPr>
        <w:t>ing</w:t>
      </w:r>
      <w:r w:rsidRPr="00844A8D">
        <w:rPr>
          <w:b/>
          <w:bCs/>
        </w:rPr>
        <w:t xml:space="preserve"> their own space in the accommodation </w:t>
      </w:r>
      <w:r w:rsidR="00844A8D">
        <w:rPr>
          <w:b/>
          <w:bCs/>
        </w:rPr>
        <w:t>(</w:t>
      </w:r>
      <w:r w:rsidRPr="00844A8D">
        <w:rPr>
          <w:b/>
          <w:bCs/>
        </w:rPr>
        <w:t>for both privacy and safety</w:t>
      </w:r>
      <w:r w:rsidR="00844A8D">
        <w:rPr>
          <w:b/>
          <w:bCs/>
        </w:rPr>
        <w:t>)</w:t>
      </w:r>
      <w:r w:rsidRPr="00844A8D">
        <w:rPr>
          <w:b/>
          <w:bCs/>
        </w:rPr>
        <w:t>, and</w:t>
      </w:r>
      <w:r w:rsidRPr="00844A8D">
        <w:t xml:space="preserve"> </w:t>
      </w:r>
      <w:r w:rsidRPr="00844A8D">
        <w:rPr>
          <w:b/>
          <w:bCs/>
        </w:rPr>
        <w:t>prioritised priv</w:t>
      </w:r>
      <w:r w:rsidRPr="00853BFF">
        <w:rPr>
          <w:b/>
          <w:bCs/>
        </w:rPr>
        <w:t>ate houses or apartments over shared spaces or dormitories</w:t>
      </w:r>
      <w:r>
        <w:t xml:space="preserve">. </w:t>
      </w:r>
    </w:p>
    <w:p w14:paraId="3A6996B4" w14:textId="76B77F61" w:rsidR="004756D6" w:rsidRDefault="00005FD6" w:rsidP="004756D6">
      <w:pPr>
        <w:pStyle w:val="QuoteSmall"/>
      </w:pPr>
      <w:r>
        <w:t>‘</w:t>
      </w:r>
      <w:r w:rsidR="004756D6">
        <w:t>The m</w:t>
      </w:r>
      <w:r w:rsidR="004756D6" w:rsidRPr="004756D6">
        <w:t xml:space="preserve">ajority of the time </w:t>
      </w:r>
      <w:r w:rsidR="0047423F">
        <w:t xml:space="preserve">[in available emergency accommodation] </w:t>
      </w:r>
      <w:r w:rsidR="004756D6" w:rsidRPr="004756D6">
        <w:t>it’s shared lounge rooms,</w:t>
      </w:r>
      <w:r w:rsidR="0047423F">
        <w:t xml:space="preserve"> or</w:t>
      </w:r>
      <w:r w:rsidR="004756D6" w:rsidRPr="004756D6">
        <w:t xml:space="preserve"> like a communal kitchen. And for someone that’s just going through DV or escaping DV, like you said, </w:t>
      </w:r>
      <w:r w:rsidR="0047423F">
        <w:t>it’s about</w:t>
      </w:r>
      <w:r w:rsidR="0047423F" w:rsidRPr="004756D6">
        <w:t xml:space="preserve"> </w:t>
      </w:r>
      <w:r w:rsidR="004756D6" w:rsidRPr="004756D6">
        <w:t>healing</w:t>
      </w:r>
      <w:r w:rsidR="00CE727B">
        <w:rPr>
          <w:lang w:eastAsia="en-AU"/>
        </w:rPr>
        <w:t xml:space="preserve"> … </w:t>
      </w:r>
      <w:r w:rsidR="004756D6" w:rsidRPr="004756D6">
        <w:t>and dealing with trauma and stuff, there’s also some</w:t>
      </w:r>
      <w:r w:rsidR="00C8781F">
        <w:t>thing</w:t>
      </w:r>
      <w:r w:rsidR="004756D6" w:rsidRPr="004756D6">
        <w:t xml:space="preserve"> embarrassing</w:t>
      </w:r>
      <w:r w:rsidR="00CE727B">
        <w:rPr>
          <w:lang w:eastAsia="en-AU"/>
        </w:rPr>
        <w:t xml:space="preserve"> … </w:t>
      </w:r>
      <w:r w:rsidR="004756D6" w:rsidRPr="004756D6">
        <w:t>you don’t want to be seeing or dealing with other women and people that you don’t know</w:t>
      </w:r>
      <w:r w:rsidR="00AF7EEB">
        <w:t>.’</w:t>
      </w:r>
      <w:r w:rsidR="004756D6">
        <w:t xml:space="preserve"> (Stakeholder, First Nations, Regional/Remote) </w:t>
      </w:r>
    </w:p>
    <w:p w14:paraId="7FC7434A" w14:textId="77777777" w:rsidR="004756D6" w:rsidRDefault="004756D6" w:rsidP="005A4C44"/>
    <w:p w14:paraId="1A6D6E2A" w14:textId="18040417" w:rsidR="00F829A0" w:rsidRDefault="00F829A0" w:rsidP="005A4C44">
      <w:r>
        <w:t xml:space="preserve">However, stakeholders suggested that the </w:t>
      </w:r>
      <w:r w:rsidRPr="00997A86">
        <w:rPr>
          <w:b/>
          <w:bCs/>
        </w:rPr>
        <w:t>accommodation should include some communal areas, like a shared garden or living space</w:t>
      </w:r>
      <w:r>
        <w:t xml:space="preserve">. </w:t>
      </w:r>
      <w:r w:rsidRPr="00844A8D">
        <w:t>Communal</w:t>
      </w:r>
      <w:r>
        <w:t xml:space="preserve"> spaces allow for a sense of community and </w:t>
      </w:r>
      <w:r w:rsidR="00844A8D">
        <w:t xml:space="preserve">a </w:t>
      </w:r>
      <w:r>
        <w:t xml:space="preserve">place for women and children to connect with each other, </w:t>
      </w:r>
      <w:r w:rsidR="00844A8D">
        <w:t>and</w:t>
      </w:r>
      <w:r>
        <w:t xml:space="preserve"> can also serve as a safe place for women and children to meet with support workers or other services. </w:t>
      </w:r>
    </w:p>
    <w:p w14:paraId="5EB6A409" w14:textId="24558A09" w:rsidR="00F1102B" w:rsidRDefault="00005FD6" w:rsidP="00F829A0">
      <w:pPr>
        <w:pStyle w:val="QuoteSmall"/>
      </w:pPr>
      <w:r>
        <w:t>‘</w:t>
      </w:r>
      <w:r w:rsidR="00F829A0" w:rsidRPr="00F829A0">
        <w:t>Safe meeting spaces</w:t>
      </w:r>
      <w:r w:rsidR="00F829A0">
        <w:t xml:space="preserve"> [like] </w:t>
      </w:r>
      <w:r w:rsidR="00F829A0" w:rsidRPr="00F829A0">
        <w:t>a space for outside workers to be able to meet with clients</w:t>
      </w:r>
      <w:r w:rsidR="00AF7EEB">
        <w:t>.’</w:t>
      </w:r>
      <w:r w:rsidR="00F829A0">
        <w:t xml:space="preserve"> (Stakeholder, CALD, Urban)</w:t>
      </w:r>
    </w:p>
    <w:p w14:paraId="1FBFE262" w14:textId="2AFA1155" w:rsidR="00F1102B" w:rsidRDefault="00005FD6" w:rsidP="00F829A0">
      <w:pPr>
        <w:pStyle w:val="QuoteSmall"/>
      </w:pPr>
      <w:r>
        <w:lastRenderedPageBreak/>
        <w:t>‘</w:t>
      </w:r>
      <w:r w:rsidR="00F1102B">
        <w:t>A l</w:t>
      </w:r>
      <w:r w:rsidR="00F1102B" w:rsidRPr="00F1102B">
        <w:t>ittle inside garden</w:t>
      </w:r>
      <w:r w:rsidR="00F1102B">
        <w:t xml:space="preserve">… [where women and children can] </w:t>
      </w:r>
      <w:r w:rsidR="00F1102B" w:rsidRPr="00F1102B">
        <w:t>express themselves, paint, do some gardening and a place where they can do some exercise</w:t>
      </w:r>
      <w:r w:rsidR="00AF7EEB">
        <w:t>.’</w:t>
      </w:r>
      <w:r w:rsidR="00F1102B" w:rsidRPr="00F1102B">
        <w:t xml:space="preserve"> </w:t>
      </w:r>
      <w:r w:rsidR="00F1102B">
        <w:t xml:space="preserve">(Stakeholder, CALD, Regional/Remote) </w:t>
      </w:r>
    </w:p>
    <w:p w14:paraId="1F5C9FC5" w14:textId="77777777" w:rsidR="00F829A0" w:rsidRDefault="00F829A0" w:rsidP="005A4C44"/>
    <w:p w14:paraId="3F6A1E0F" w14:textId="371FC507" w:rsidR="00E37BAE" w:rsidRDefault="008F59AA" w:rsidP="005A4C44">
      <w:r w:rsidRPr="006F644E">
        <w:rPr>
          <w:b/>
          <w:bCs/>
        </w:rPr>
        <w:t xml:space="preserve">The accommodation should </w:t>
      </w:r>
      <w:r w:rsidR="00E37BAE" w:rsidRPr="006F644E">
        <w:rPr>
          <w:b/>
          <w:bCs/>
        </w:rPr>
        <w:t>allow for women and children to have a choice in how they live</w:t>
      </w:r>
      <w:r w:rsidR="00E37BAE">
        <w:t xml:space="preserve">. The sector stakeholders </w:t>
      </w:r>
      <w:r w:rsidR="0051275E">
        <w:t xml:space="preserve">emphasised that choice is vital for women and children who have experienced domestic violence, not only to </w:t>
      </w:r>
      <w:r w:rsidR="00A95BDF">
        <w:t>cater</w:t>
      </w:r>
      <w:r w:rsidR="0051275E" w:rsidRPr="00844A8D">
        <w:t xml:space="preserve"> to the n</w:t>
      </w:r>
      <w:r w:rsidR="0051275E">
        <w:t xml:space="preserve">eeds of each individual and family, but </w:t>
      </w:r>
      <w:r w:rsidR="00A95BDF">
        <w:t xml:space="preserve">also </w:t>
      </w:r>
      <w:r w:rsidR="00844A8D">
        <w:t>to</w:t>
      </w:r>
      <w:r w:rsidR="0051275E">
        <w:t xml:space="preserve"> encourag</w:t>
      </w:r>
      <w:r w:rsidR="00844A8D">
        <w:t xml:space="preserve">e </w:t>
      </w:r>
      <w:r w:rsidR="0051275E">
        <w:t xml:space="preserve">empowerment. </w:t>
      </w:r>
    </w:p>
    <w:p w14:paraId="651008F4" w14:textId="34B4D309" w:rsidR="00E37BAE" w:rsidRDefault="00005FD6" w:rsidP="00E37BAE">
      <w:pPr>
        <w:pStyle w:val="QuoteSmall"/>
        <w:rPr>
          <w:lang w:eastAsia="en-AU"/>
        </w:rPr>
      </w:pPr>
      <w:r>
        <w:rPr>
          <w:lang w:eastAsia="en-AU"/>
        </w:rPr>
        <w:t>‘</w:t>
      </w:r>
      <w:r w:rsidR="00E37BAE">
        <w:rPr>
          <w:lang w:eastAsia="en-AU"/>
        </w:rPr>
        <w:t>W</w:t>
      </w:r>
      <w:r w:rsidR="00E37BAE" w:rsidRPr="00E37BAE">
        <w:rPr>
          <w:lang w:eastAsia="en-AU"/>
        </w:rPr>
        <w:t>hen I worked in homelessness we ha</w:t>
      </w:r>
      <w:r w:rsidR="00E37BAE">
        <w:rPr>
          <w:lang w:eastAsia="en-AU"/>
        </w:rPr>
        <w:t>d</w:t>
      </w:r>
      <w:r w:rsidR="00E37BAE" w:rsidRPr="00E37BAE">
        <w:rPr>
          <w:lang w:eastAsia="en-AU"/>
        </w:rPr>
        <w:t xml:space="preserve"> two huge wardrobes with all sorts of different things, and when a woman and the children c</w:t>
      </w:r>
      <w:r w:rsidR="00E37BAE">
        <w:rPr>
          <w:lang w:eastAsia="en-AU"/>
        </w:rPr>
        <w:t>a</w:t>
      </w:r>
      <w:r w:rsidR="00E37BAE" w:rsidRPr="00E37BAE">
        <w:rPr>
          <w:lang w:eastAsia="en-AU"/>
        </w:rPr>
        <w:t>me, we just let them choose what they want</w:t>
      </w:r>
      <w:r w:rsidR="00CE727B">
        <w:rPr>
          <w:lang w:eastAsia="en-AU"/>
        </w:rPr>
        <w:t xml:space="preserve"> … </w:t>
      </w:r>
      <w:r w:rsidR="00E37BAE" w:rsidRPr="00E37BAE">
        <w:rPr>
          <w:lang w:eastAsia="en-AU"/>
        </w:rPr>
        <w:t>different colours, different shapes</w:t>
      </w:r>
      <w:r w:rsidR="00CE727B">
        <w:rPr>
          <w:lang w:eastAsia="en-AU"/>
        </w:rPr>
        <w:t xml:space="preserve"> … </w:t>
      </w:r>
      <w:r w:rsidR="00E37BAE" w:rsidRPr="00E37BAE">
        <w:rPr>
          <w:lang w:eastAsia="en-AU"/>
        </w:rPr>
        <w:t>and we asked them, what would they prefer, of course, for the first couple of nights the beds and everything is done for them, but then we also let them know that they can have different choices if they wish to</w:t>
      </w:r>
      <w:r w:rsidR="00AF7EEB">
        <w:rPr>
          <w:lang w:eastAsia="en-AU"/>
        </w:rPr>
        <w:t>.’</w:t>
      </w:r>
      <w:r w:rsidR="00E37BAE">
        <w:rPr>
          <w:lang w:eastAsia="en-AU"/>
        </w:rPr>
        <w:t xml:space="preserve"> (Stakeholder, Disability, Urban) </w:t>
      </w:r>
    </w:p>
    <w:p w14:paraId="33345ADF" w14:textId="77777777" w:rsidR="00E37BAE" w:rsidRDefault="00E37BAE" w:rsidP="00E37B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hAnsi="Arial" w:cs="Arial"/>
          <w:color w:val="auto"/>
          <w:sz w:val="20"/>
          <w:szCs w:val="20"/>
          <w:lang w:eastAsia="en-AU"/>
        </w:rPr>
      </w:pPr>
    </w:p>
    <w:p w14:paraId="7A8EFBDE" w14:textId="3B523BDB" w:rsidR="007D12A2" w:rsidRDefault="00A95BDF" w:rsidP="007D12A2">
      <w:r>
        <w:t>P</w:t>
      </w:r>
      <w:r w:rsidR="007D12A2" w:rsidRPr="00A95BDF">
        <w:t xml:space="preserve">articipants </w:t>
      </w:r>
      <w:r>
        <w:t xml:space="preserve">suggested accommodation should </w:t>
      </w:r>
      <w:r w:rsidR="007D12A2" w:rsidRPr="00A95BDF">
        <w:t xml:space="preserve">include appropriate technology systems, including enough power outlets and chargers, as well as </w:t>
      </w:r>
      <w:r w:rsidR="005626FB">
        <w:t xml:space="preserve">facilities </w:t>
      </w:r>
      <w:r w:rsidR="007D12A2" w:rsidRPr="005626FB">
        <w:t>fo</w:t>
      </w:r>
      <w:r w:rsidR="007D12A2" w:rsidRPr="00A95BDF">
        <w:t xml:space="preserve">r clients to </w:t>
      </w:r>
      <w:r w:rsidR="0047423F" w:rsidRPr="00A95BDF">
        <w:t xml:space="preserve">use </w:t>
      </w:r>
      <w:r w:rsidR="007D12A2" w:rsidRPr="00A95BDF">
        <w:t>phones and online</w:t>
      </w:r>
      <w:r w:rsidR="007D12A2">
        <w:t xml:space="preserve"> language interpreters. </w:t>
      </w:r>
    </w:p>
    <w:p w14:paraId="5A617233" w14:textId="77777777" w:rsidR="00F706FD" w:rsidRDefault="00F706FD" w:rsidP="00F706FD">
      <w:pPr>
        <w:pStyle w:val="Heading4"/>
      </w:pPr>
      <w:r>
        <w:t>Physical design and cultural features relevant for women and children from CALD backgrounds</w:t>
      </w:r>
    </w:p>
    <w:p w14:paraId="676706C9" w14:textId="5CCF16F3" w:rsidR="00F034E6" w:rsidRDefault="00F709CA" w:rsidP="007D12A2">
      <w:r>
        <w:t xml:space="preserve">Stakeholders who represented organisations with expertise working with women and children from </w:t>
      </w:r>
      <w:r w:rsidR="00060B8B">
        <w:t xml:space="preserve">CALD </w:t>
      </w:r>
      <w:r>
        <w:t>background</w:t>
      </w:r>
      <w:r w:rsidR="004138AE">
        <w:t>s</w:t>
      </w:r>
      <w:r>
        <w:t xml:space="preserve"> noted some </w:t>
      </w:r>
      <w:r w:rsidRPr="006F644E">
        <w:rPr>
          <w:b/>
          <w:bCs/>
        </w:rPr>
        <w:t>additional features that are particularly important in ensuring emergency accommodation is culturally appropriate</w:t>
      </w:r>
      <w:r>
        <w:t>.</w:t>
      </w:r>
      <w:r w:rsidR="002578B5">
        <w:t xml:space="preserve"> </w:t>
      </w:r>
      <w:r w:rsidR="00F6792F">
        <w:t xml:space="preserve">The most </w:t>
      </w:r>
      <w:r w:rsidR="00F034E6">
        <w:t>frequently</w:t>
      </w:r>
      <w:r w:rsidR="00F6792F">
        <w:t xml:space="preserve"> raised features specific to CALD women and children included</w:t>
      </w:r>
      <w:r w:rsidR="00F034E6">
        <w:t>:</w:t>
      </w:r>
      <w:r w:rsidR="00F6792F">
        <w:t xml:space="preserve"> </w:t>
      </w:r>
    </w:p>
    <w:p w14:paraId="767C3B50" w14:textId="4C465F74" w:rsidR="00F034E6" w:rsidRDefault="000D089F" w:rsidP="00F034E6">
      <w:pPr>
        <w:pStyle w:val="Bulletlist"/>
      </w:pPr>
      <w:r>
        <w:t>prayer or spiritual spaces</w:t>
      </w:r>
    </w:p>
    <w:p w14:paraId="16FC544A" w14:textId="214AFD66" w:rsidR="00F034E6" w:rsidRDefault="000D089F" w:rsidP="00F034E6">
      <w:pPr>
        <w:pStyle w:val="Bulletlist"/>
      </w:pPr>
      <w:r>
        <w:t>enough rooms within dwellings to accommodate large families</w:t>
      </w:r>
    </w:p>
    <w:p w14:paraId="693A67D5" w14:textId="77BBCACC" w:rsidR="00F709CA" w:rsidRDefault="000D089F" w:rsidP="00F034E6">
      <w:pPr>
        <w:pStyle w:val="Bulletlist"/>
      </w:pPr>
      <w:r>
        <w:t xml:space="preserve">each woman or family having their own separate kitchen </w:t>
      </w:r>
    </w:p>
    <w:p w14:paraId="00AE4521" w14:textId="3574077B" w:rsidR="00617C9E" w:rsidRDefault="000D089F" w:rsidP="00F034E6">
      <w:pPr>
        <w:pStyle w:val="Bulletlist"/>
      </w:pPr>
      <w:r w:rsidRPr="005626FB">
        <w:t>no</w:t>
      </w:r>
      <w:r w:rsidR="00617C9E" w:rsidRPr="005626FB">
        <w:t>t lab</w:t>
      </w:r>
      <w:r w:rsidR="00617C9E">
        <w:t>elling the accommodation as a ‘refuge’</w:t>
      </w:r>
      <w:r w:rsidR="00A95BDF">
        <w:t>,</w:t>
      </w:r>
      <w:r w:rsidR="00617C9E">
        <w:t xml:space="preserve"> which may be triggering or retraumatising </w:t>
      </w:r>
      <w:r w:rsidR="00A95BDF">
        <w:t xml:space="preserve">because of the </w:t>
      </w:r>
      <w:r w:rsidR="00617C9E">
        <w:t xml:space="preserve">association </w:t>
      </w:r>
      <w:r w:rsidR="00A95BDF">
        <w:t>with t</w:t>
      </w:r>
      <w:r w:rsidR="00617C9E">
        <w:t>he word</w:t>
      </w:r>
      <w:r w:rsidR="00A95BDF">
        <w:t>s</w:t>
      </w:r>
      <w:r w:rsidR="00617C9E">
        <w:t xml:space="preserve"> ‘refugee’ or ‘refugee camp’. </w:t>
      </w:r>
    </w:p>
    <w:p w14:paraId="389EA1EF" w14:textId="72DA5FB7" w:rsidR="00F81CB9" w:rsidRPr="00F81CB9" w:rsidRDefault="00005FD6" w:rsidP="00F81CB9">
      <w:pPr>
        <w:pStyle w:val="QuoteSmall"/>
      </w:pPr>
      <w:r>
        <w:t>‘</w:t>
      </w:r>
      <w:r w:rsidR="00F81CB9">
        <w:t>F</w:t>
      </w:r>
      <w:r w:rsidR="00F81CB9" w:rsidRPr="00F81CB9">
        <w:rPr>
          <w:lang w:eastAsia="en-AU"/>
        </w:rPr>
        <w:t>or some cultures</w:t>
      </w:r>
      <w:r w:rsidR="00F81CB9">
        <w:rPr>
          <w:lang w:eastAsia="en-AU"/>
        </w:rPr>
        <w:t xml:space="preserve">, </w:t>
      </w:r>
      <w:r w:rsidR="00F81CB9" w:rsidRPr="00F81CB9">
        <w:rPr>
          <w:lang w:eastAsia="en-AU"/>
        </w:rPr>
        <w:t>having a separate space to pray is very important</w:t>
      </w:r>
      <w:r w:rsidR="00AF7EEB">
        <w:rPr>
          <w:lang w:eastAsia="en-AU"/>
        </w:rPr>
        <w:t>.’</w:t>
      </w:r>
      <w:r w:rsidR="00F81CB9" w:rsidRPr="00F81CB9">
        <w:rPr>
          <w:lang w:eastAsia="en-AU"/>
        </w:rPr>
        <w:t xml:space="preserve"> </w:t>
      </w:r>
      <w:r w:rsidR="00F81CB9">
        <w:t>(Stakeholder, CALD, Urban)</w:t>
      </w:r>
    </w:p>
    <w:p w14:paraId="38B72857" w14:textId="77777777" w:rsidR="00F81CB9" w:rsidRDefault="00F81CB9" w:rsidP="003946FC">
      <w:pPr>
        <w:pStyle w:val="QuoteSmall"/>
      </w:pPr>
    </w:p>
    <w:p w14:paraId="61F2B894" w14:textId="3B1A9080" w:rsidR="00F034E6" w:rsidRDefault="00005FD6" w:rsidP="003946FC">
      <w:pPr>
        <w:pStyle w:val="QuoteSmall"/>
      </w:pPr>
      <w:r>
        <w:t>‘</w:t>
      </w:r>
      <w:r w:rsidR="00F034E6" w:rsidRPr="00F034E6">
        <w:t>CALD women and children need access to their own private dwelling including a kitchen</w:t>
      </w:r>
      <w:r w:rsidR="00CE727B">
        <w:rPr>
          <w:lang w:eastAsia="en-AU"/>
        </w:rPr>
        <w:t xml:space="preserve"> … </w:t>
      </w:r>
      <w:r w:rsidR="00F034E6">
        <w:t xml:space="preserve"> </w:t>
      </w:r>
      <w:r w:rsidR="00F034E6" w:rsidRPr="00F034E6">
        <w:t>most hostels don’t have a kitchenette</w:t>
      </w:r>
      <w:r w:rsidR="00F034E6">
        <w:t>. [This should be a]</w:t>
      </w:r>
      <w:r w:rsidR="00F034E6" w:rsidRPr="00F034E6">
        <w:t xml:space="preserve"> private kitchen for safety as well as cultural/religious reasons</w:t>
      </w:r>
      <w:r w:rsidR="00AF7EEB">
        <w:t>.’</w:t>
      </w:r>
      <w:r w:rsidR="00F034E6">
        <w:t xml:space="preserve"> (Stakeholder, CALD, Urban)</w:t>
      </w:r>
    </w:p>
    <w:p w14:paraId="379FED05" w14:textId="05265293" w:rsidR="00F709CA" w:rsidRDefault="00005FD6" w:rsidP="003946FC">
      <w:pPr>
        <w:pStyle w:val="QuoteSmall"/>
      </w:pPr>
      <w:r>
        <w:lastRenderedPageBreak/>
        <w:t>‘</w:t>
      </w:r>
      <w:r w:rsidR="00F709CA" w:rsidRPr="00D81ECE">
        <w:t>We need big spaces, especially for women with lots of children</w:t>
      </w:r>
      <w:r w:rsidR="00CE727B">
        <w:rPr>
          <w:lang w:eastAsia="en-AU"/>
        </w:rPr>
        <w:t xml:space="preserve"> … </w:t>
      </w:r>
      <w:r w:rsidR="00F709CA" w:rsidRPr="00D81ECE">
        <w:t>some of [the existing spaces] are shared beds in one room, with different families</w:t>
      </w:r>
      <w:r w:rsidR="00CE727B">
        <w:rPr>
          <w:lang w:eastAsia="en-AU"/>
        </w:rPr>
        <w:t xml:space="preserve"> … </w:t>
      </w:r>
      <w:r w:rsidR="00F709CA" w:rsidRPr="00D81ECE">
        <w:t>which is very inconvenient for them</w:t>
      </w:r>
      <w:r w:rsidR="00AF7EEB">
        <w:t>.’</w:t>
      </w:r>
      <w:r w:rsidR="00F709CA">
        <w:t xml:space="preserve"> (Stakeholder, CALD, Regional/Remote) </w:t>
      </w:r>
    </w:p>
    <w:p w14:paraId="0D5497D6" w14:textId="77777777" w:rsidR="00F6792F" w:rsidRDefault="00F6792F" w:rsidP="00F6792F">
      <w:pPr>
        <w:rPr>
          <w:rStyle w:val="Emphasis"/>
          <w:i w:val="0"/>
          <w:iCs w:val="0"/>
        </w:rPr>
      </w:pPr>
    </w:p>
    <w:p w14:paraId="01519702" w14:textId="77777777" w:rsidR="00F706FD" w:rsidRDefault="00F706FD" w:rsidP="00F706FD">
      <w:pPr>
        <w:pStyle w:val="Heading4"/>
      </w:pPr>
      <w:r>
        <w:t xml:space="preserve">Physical design and cultural features relevant for First Nations women and children </w:t>
      </w:r>
    </w:p>
    <w:p w14:paraId="321AC5ED" w14:textId="22214277" w:rsidR="0034539D" w:rsidRDefault="00A849C0" w:rsidP="00F6792F">
      <w:pPr>
        <w:rPr>
          <w:rStyle w:val="Emphasis"/>
          <w:i w:val="0"/>
          <w:iCs w:val="0"/>
        </w:rPr>
      </w:pPr>
      <w:r>
        <w:rPr>
          <w:rStyle w:val="Emphasis"/>
          <w:i w:val="0"/>
          <w:iCs w:val="0"/>
        </w:rPr>
        <w:t xml:space="preserve">Participants raised some </w:t>
      </w:r>
      <w:r w:rsidRPr="006F644E">
        <w:rPr>
          <w:rStyle w:val="Emphasis"/>
          <w:b/>
          <w:bCs/>
          <w:i w:val="0"/>
          <w:iCs w:val="0"/>
        </w:rPr>
        <w:t xml:space="preserve">design and culture specifications that are particularly important when providing emergency accommodation to </w:t>
      </w:r>
      <w:r w:rsidR="00D96A55" w:rsidRPr="006F644E">
        <w:rPr>
          <w:rStyle w:val="Emphasis"/>
          <w:b/>
          <w:bCs/>
          <w:i w:val="0"/>
          <w:iCs w:val="0"/>
        </w:rPr>
        <w:t>First Nations</w:t>
      </w:r>
      <w:r w:rsidRPr="006F644E">
        <w:rPr>
          <w:rStyle w:val="Emphasis"/>
          <w:b/>
          <w:bCs/>
          <w:i w:val="0"/>
          <w:iCs w:val="0"/>
        </w:rPr>
        <w:t xml:space="preserve"> women and children</w:t>
      </w:r>
      <w:r>
        <w:rPr>
          <w:rStyle w:val="Emphasis"/>
          <w:i w:val="0"/>
          <w:iCs w:val="0"/>
        </w:rPr>
        <w:t xml:space="preserve">. </w:t>
      </w:r>
      <w:r w:rsidR="0040526E" w:rsidRPr="00C16CAE">
        <w:rPr>
          <w:rStyle w:val="Emphasis"/>
          <w:i w:val="0"/>
          <w:iCs w:val="0"/>
        </w:rPr>
        <w:t>S</w:t>
      </w:r>
      <w:r w:rsidR="0034539D" w:rsidRPr="00C16CAE">
        <w:rPr>
          <w:rStyle w:val="Emphasis"/>
          <w:i w:val="0"/>
          <w:iCs w:val="0"/>
        </w:rPr>
        <w:t>takehol</w:t>
      </w:r>
      <w:r w:rsidR="0034539D">
        <w:rPr>
          <w:rStyle w:val="Emphasis"/>
          <w:i w:val="0"/>
          <w:iCs w:val="0"/>
        </w:rPr>
        <w:t xml:space="preserve">ders expressed </w:t>
      </w:r>
      <w:r w:rsidR="0034539D" w:rsidRPr="0040526E">
        <w:rPr>
          <w:rStyle w:val="Emphasis"/>
          <w:i w:val="0"/>
          <w:iCs w:val="0"/>
        </w:rPr>
        <w:t xml:space="preserve">the importance of </w:t>
      </w:r>
      <w:r w:rsidR="000D089F" w:rsidRPr="0040526E">
        <w:rPr>
          <w:rStyle w:val="Emphasis"/>
          <w:i w:val="0"/>
          <w:iCs w:val="0"/>
        </w:rPr>
        <w:t xml:space="preserve">spaces </w:t>
      </w:r>
      <w:r w:rsidR="0034539D" w:rsidRPr="0040526E">
        <w:rPr>
          <w:rStyle w:val="Emphasis"/>
          <w:i w:val="0"/>
          <w:iCs w:val="0"/>
        </w:rPr>
        <w:t xml:space="preserve">big enough to accommodate large families with </w:t>
      </w:r>
      <w:r w:rsidR="0040526E">
        <w:rPr>
          <w:rStyle w:val="Emphasis"/>
          <w:i w:val="0"/>
          <w:iCs w:val="0"/>
        </w:rPr>
        <w:t>several</w:t>
      </w:r>
      <w:r w:rsidR="0034539D" w:rsidRPr="0040526E">
        <w:rPr>
          <w:rStyle w:val="Emphasis"/>
          <w:i w:val="0"/>
          <w:iCs w:val="0"/>
        </w:rPr>
        <w:t xml:space="preserve"> children. </w:t>
      </w:r>
      <w:r w:rsidR="00C16CAE">
        <w:rPr>
          <w:rStyle w:val="Emphasis"/>
          <w:i w:val="0"/>
          <w:iCs w:val="0"/>
        </w:rPr>
        <w:t>O</w:t>
      </w:r>
      <w:r w:rsidR="0034539D" w:rsidRPr="00C16CAE">
        <w:rPr>
          <w:rStyle w:val="Emphasis"/>
          <w:i w:val="0"/>
          <w:iCs w:val="0"/>
        </w:rPr>
        <w:t>ne</w:t>
      </w:r>
      <w:r w:rsidR="0034539D">
        <w:rPr>
          <w:rStyle w:val="Emphasis"/>
          <w:i w:val="0"/>
          <w:iCs w:val="0"/>
        </w:rPr>
        <w:t xml:space="preserve"> participant </w:t>
      </w:r>
      <w:r w:rsidR="00C16CAE">
        <w:rPr>
          <w:rStyle w:val="Emphasis"/>
          <w:i w:val="0"/>
          <w:iCs w:val="0"/>
        </w:rPr>
        <w:t>mentioned</w:t>
      </w:r>
      <w:r w:rsidR="0034539D">
        <w:rPr>
          <w:rStyle w:val="Emphasis"/>
          <w:i w:val="0"/>
          <w:iCs w:val="0"/>
        </w:rPr>
        <w:t xml:space="preserve"> the preference among many First Nations families to sleep in one room, suggesting </w:t>
      </w:r>
      <w:r w:rsidR="0034539D" w:rsidRPr="0040526E">
        <w:rPr>
          <w:rStyle w:val="Emphasis"/>
          <w:i w:val="0"/>
          <w:iCs w:val="0"/>
        </w:rPr>
        <w:t xml:space="preserve">that some units </w:t>
      </w:r>
      <w:r w:rsidR="0040526E">
        <w:rPr>
          <w:rStyle w:val="Emphasis"/>
          <w:i w:val="0"/>
          <w:iCs w:val="0"/>
        </w:rPr>
        <w:t>provide</w:t>
      </w:r>
      <w:r w:rsidR="0034539D" w:rsidRPr="0040526E">
        <w:rPr>
          <w:rStyle w:val="Emphasis"/>
          <w:i w:val="0"/>
          <w:iCs w:val="0"/>
        </w:rPr>
        <w:t xml:space="preserve"> a smaller bedroom as an option for a single woman or with one child, but with</w:t>
      </w:r>
      <w:r w:rsidR="0034539D">
        <w:rPr>
          <w:rStyle w:val="Emphasis"/>
          <w:i w:val="0"/>
          <w:iCs w:val="0"/>
        </w:rPr>
        <w:t xml:space="preserve"> a room divider tha</w:t>
      </w:r>
      <w:r w:rsidR="004138AE">
        <w:rPr>
          <w:rStyle w:val="Emphasis"/>
          <w:i w:val="0"/>
          <w:iCs w:val="0"/>
        </w:rPr>
        <w:t>t</w:t>
      </w:r>
      <w:r w:rsidR="0034539D">
        <w:rPr>
          <w:rStyle w:val="Emphasis"/>
          <w:i w:val="0"/>
          <w:iCs w:val="0"/>
        </w:rPr>
        <w:t xml:space="preserve"> can open up and </w:t>
      </w:r>
      <w:r w:rsidR="0047423F">
        <w:rPr>
          <w:rStyle w:val="Emphasis"/>
          <w:i w:val="0"/>
          <w:iCs w:val="0"/>
        </w:rPr>
        <w:t xml:space="preserve">be </w:t>
      </w:r>
      <w:r w:rsidR="0034539D">
        <w:rPr>
          <w:rStyle w:val="Emphasis"/>
          <w:i w:val="0"/>
          <w:iCs w:val="0"/>
        </w:rPr>
        <w:t>turn</w:t>
      </w:r>
      <w:r w:rsidR="0047423F">
        <w:rPr>
          <w:rStyle w:val="Emphasis"/>
          <w:i w:val="0"/>
          <w:iCs w:val="0"/>
        </w:rPr>
        <w:t>ed</w:t>
      </w:r>
      <w:r w:rsidR="0034539D">
        <w:rPr>
          <w:rStyle w:val="Emphasis"/>
          <w:i w:val="0"/>
          <w:iCs w:val="0"/>
        </w:rPr>
        <w:t xml:space="preserve"> into one larger room. </w:t>
      </w:r>
    </w:p>
    <w:p w14:paraId="4827D04B" w14:textId="70FF9CB4" w:rsidR="0034539D" w:rsidRDefault="00005FD6" w:rsidP="0034539D">
      <w:pPr>
        <w:pStyle w:val="QuoteSmall"/>
        <w:rPr>
          <w:rStyle w:val="Emphasis"/>
          <w:i w:val="0"/>
          <w:iCs/>
        </w:rPr>
      </w:pPr>
      <w:r>
        <w:rPr>
          <w:rStyle w:val="Emphasis"/>
          <w:i w:val="0"/>
          <w:iCs/>
        </w:rPr>
        <w:t>‘</w:t>
      </w:r>
      <w:r w:rsidR="0034539D" w:rsidRPr="0034539D">
        <w:rPr>
          <w:rStyle w:val="Emphasis"/>
          <w:i w:val="0"/>
        </w:rPr>
        <w:t>I think every unit needs to have</w:t>
      </w:r>
      <w:r w:rsidR="00CE727B">
        <w:rPr>
          <w:lang w:eastAsia="en-AU"/>
        </w:rPr>
        <w:t xml:space="preserve"> … </w:t>
      </w:r>
      <w:r w:rsidR="0034539D" w:rsidRPr="0034539D">
        <w:rPr>
          <w:rStyle w:val="Emphasis"/>
          <w:i w:val="0"/>
        </w:rPr>
        <w:t>an option for a single, and then it needs to probably have a room divider, where you can open it up, and then make it into one bigger room</w:t>
      </w:r>
      <w:r w:rsidR="00CE727B">
        <w:rPr>
          <w:lang w:eastAsia="en-AU"/>
        </w:rPr>
        <w:t xml:space="preserve"> …</w:t>
      </w:r>
      <w:r w:rsidR="0044035B">
        <w:rPr>
          <w:lang w:eastAsia="en-AU"/>
        </w:rPr>
        <w:t>’</w:t>
      </w:r>
      <w:r w:rsidR="0034539D">
        <w:rPr>
          <w:rStyle w:val="Emphasis"/>
          <w:i w:val="0"/>
          <w:iCs/>
        </w:rPr>
        <w:t xml:space="preserve"> (Stakeholder, First Nations, Regional/Remote) </w:t>
      </w:r>
    </w:p>
    <w:p w14:paraId="3A6E9F41" w14:textId="77777777" w:rsidR="0034539D" w:rsidRDefault="0034539D" w:rsidP="00F6792F">
      <w:pPr>
        <w:rPr>
          <w:rStyle w:val="Emphasis"/>
          <w:i w:val="0"/>
          <w:iCs w:val="0"/>
        </w:rPr>
      </w:pPr>
    </w:p>
    <w:p w14:paraId="40E06637" w14:textId="77777777" w:rsidR="0047423F" w:rsidRDefault="00A849C0" w:rsidP="00F6792F">
      <w:pPr>
        <w:rPr>
          <w:rStyle w:val="Emphasis"/>
          <w:i w:val="0"/>
          <w:iCs w:val="0"/>
        </w:rPr>
      </w:pPr>
      <w:r>
        <w:rPr>
          <w:rStyle w:val="Emphasis"/>
          <w:i w:val="0"/>
          <w:iCs w:val="0"/>
        </w:rPr>
        <w:t>One specific suggestion was a cultural space for women and children to participate in activities of their choice</w:t>
      </w:r>
      <w:r w:rsidR="00767671">
        <w:rPr>
          <w:rStyle w:val="Emphasis"/>
          <w:i w:val="0"/>
          <w:iCs w:val="0"/>
        </w:rPr>
        <w:t>, or as a place for connecting and healing with others</w:t>
      </w:r>
      <w:r>
        <w:rPr>
          <w:rStyle w:val="Emphasis"/>
          <w:i w:val="0"/>
          <w:iCs w:val="0"/>
        </w:rPr>
        <w:t xml:space="preserve">. </w:t>
      </w:r>
    </w:p>
    <w:p w14:paraId="7BBE3181" w14:textId="192B9E8D" w:rsidR="0047423F" w:rsidRDefault="00005FD6" w:rsidP="0047423F">
      <w:pPr>
        <w:pStyle w:val="QuoteSmall"/>
        <w:rPr>
          <w:rStyle w:val="Emphasis"/>
          <w:i w:val="0"/>
          <w:iCs/>
        </w:rPr>
      </w:pPr>
      <w:r>
        <w:rPr>
          <w:rStyle w:val="Emphasis"/>
          <w:i w:val="0"/>
          <w:iCs/>
        </w:rPr>
        <w:t>‘</w:t>
      </w:r>
      <w:r w:rsidR="0047423F">
        <w:rPr>
          <w:rStyle w:val="Emphasis"/>
          <w:i w:val="0"/>
          <w:iCs/>
        </w:rPr>
        <w:t>T</w:t>
      </w:r>
      <w:r w:rsidR="0047423F" w:rsidRPr="00767671">
        <w:rPr>
          <w:rStyle w:val="Emphasis"/>
          <w:i w:val="0"/>
          <w:iCs/>
        </w:rPr>
        <w:t xml:space="preserve">here could be </w:t>
      </w:r>
      <w:r w:rsidR="0047423F">
        <w:rPr>
          <w:rStyle w:val="Emphasis"/>
          <w:i w:val="0"/>
          <w:iCs/>
        </w:rPr>
        <w:t>[an area]</w:t>
      </w:r>
      <w:r w:rsidR="0047423F" w:rsidRPr="00767671">
        <w:rPr>
          <w:rStyle w:val="Emphasis"/>
          <w:i w:val="0"/>
          <w:iCs/>
        </w:rPr>
        <w:t xml:space="preserve"> outside, where they can sit around a fire if they want, if that’s what it needs. That cultural space</w:t>
      </w:r>
      <w:r w:rsidR="0047423F">
        <w:rPr>
          <w:rStyle w:val="Emphasis"/>
          <w:i w:val="0"/>
          <w:iCs/>
        </w:rPr>
        <w:t xml:space="preserve">… </w:t>
      </w:r>
      <w:r w:rsidR="0047423F" w:rsidRPr="00767671">
        <w:rPr>
          <w:rStyle w:val="Emphasis"/>
          <w:i w:val="0"/>
          <w:iCs/>
        </w:rPr>
        <w:t>So whenever there’s</w:t>
      </w:r>
      <w:r w:rsidR="00CE727B">
        <w:rPr>
          <w:lang w:eastAsia="en-AU"/>
        </w:rPr>
        <w:t xml:space="preserve"> … </w:t>
      </w:r>
      <w:r w:rsidR="0047423F" w:rsidRPr="00767671">
        <w:rPr>
          <w:rStyle w:val="Emphasis"/>
          <w:i w:val="0"/>
          <w:iCs/>
        </w:rPr>
        <w:t>loss and grief, it could be a space where the families get together</w:t>
      </w:r>
      <w:r w:rsidR="0047423F">
        <w:rPr>
          <w:rStyle w:val="Emphasis"/>
          <w:i w:val="0"/>
          <w:iCs/>
        </w:rPr>
        <w:t xml:space="preserve">…a </w:t>
      </w:r>
      <w:r w:rsidR="0047423F" w:rsidRPr="00767671">
        <w:rPr>
          <w:rStyle w:val="Emphasis"/>
          <w:i w:val="0"/>
          <w:iCs/>
        </w:rPr>
        <w:t>healing place</w:t>
      </w:r>
      <w:r w:rsidR="00AF7EEB">
        <w:rPr>
          <w:rStyle w:val="Emphasis"/>
          <w:i w:val="0"/>
          <w:iCs/>
        </w:rPr>
        <w:t>.’</w:t>
      </w:r>
      <w:r w:rsidR="0047423F" w:rsidRPr="00767671">
        <w:rPr>
          <w:lang w:eastAsia="en-AU"/>
        </w:rPr>
        <w:t xml:space="preserve"> </w:t>
      </w:r>
      <w:r w:rsidR="0047423F">
        <w:rPr>
          <w:lang w:eastAsia="en-AU"/>
        </w:rPr>
        <w:t>(Stakeholder, First Nations, Regional/Remote)</w:t>
      </w:r>
    </w:p>
    <w:p w14:paraId="4A7E26C9" w14:textId="77777777" w:rsidR="0047423F" w:rsidRDefault="0047423F" w:rsidP="00F6792F">
      <w:pPr>
        <w:rPr>
          <w:rStyle w:val="Emphasis"/>
          <w:i w:val="0"/>
          <w:iCs w:val="0"/>
        </w:rPr>
      </w:pPr>
    </w:p>
    <w:p w14:paraId="64A2CFD9" w14:textId="4EC428E3" w:rsidR="00A849C0" w:rsidRDefault="003D4F60" w:rsidP="00F6792F">
      <w:pPr>
        <w:rPr>
          <w:rStyle w:val="Emphasis"/>
          <w:i w:val="0"/>
          <w:iCs w:val="0"/>
        </w:rPr>
      </w:pPr>
      <w:r>
        <w:rPr>
          <w:rStyle w:val="Emphasis"/>
          <w:i w:val="0"/>
          <w:iCs w:val="0"/>
        </w:rPr>
        <w:t xml:space="preserve">Other </w:t>
      </w:r>
      <w:r w:rsidR="00A849C0">
        <w:rPr>
          <w:rStyle w:val="Emphasis"/>
          <w:i w:val="0"/>
          <w:iCs w:val="0"/>
        </w:rPr>
        <w:t>participant</w:t>
      </w:r>
      <w:r>
        <w:rPr>
          <w:rStyle w:val="Emphasis"/>
          <w:i w:val="0"/>
          <w:iCs w:val="0"/>
        </w:rPr>
        <w:t>s</w:t>
      </w:r>
      <w:r w:rsidR="00A849C0">
        <w:rPr>
          <w:rStyle w:val="Emphasis"/>
          <w:i w:val="0"/>
          <w:iCs w:val="0"/>
        </w:rPr>
        <w:t xml:space="preserve"> raised a concern about the age limit for male children to accompany their mother in</w:t>
      </w:r>
      <w:r w:rsidR="0047423F">
        <w:rPr>
          <w:rStyle w:val="Emphasis"/>
          <w:i w:val="0"/>
          <w:iCs w:val="0"/>
        </w:rPr>
        <w:t>to the</w:t>
      </w:r>
      <w:r w:rsidR="00A849C0">
        <w:rPr>
          <w:rStyle w:val="Emphasis"/>
          <w:i w:val="0"/>
          <w:iCs w:val="0"/>
        </w:rPr>
        <w:t xml:space="preserve"> accommodation, noting that it was especially inappropriate in</w:t>
      </w:r>
      <w:r w:rsidR="00D96A55">
        <w:rPr>
          <w:rStyle w:val="Emphasis"/>
          <w:i w:val="0"/>
          <w:iCs w:val="0"/>
        </w:rPr>
        <w:t xml:space="preserve"> First Nations</w:t>
      </w:r>
      <w:r w:rsidR="00A849C0">
        <w:rPr>
          <w:rStyle w:val="Emphasis"/>
          <w:i w:val="0"/>
          <w:iCs w:val="0"/>
        </w:rPr>
        <w:t xml:space="preserve"> </w:t>
      </w:r>
      <w:r>
        <w:rPr>
          <w:rStyle w:val="Emphasis"/>
          <w:i w:val="0"/>
          <w:iCs w:val="0"/>
        </w:rPr>
        <w:t xml:space="preserve">and CALD </w:t>
      </w:r>
      <w:r w:rsidR="00A849C0">
        <w:rPr>
          <w:rStyle w:val="Emphasis"/>
          <w:i w:val="0"/>
          <w:iCs w:val="0"/>
        </w:rPr>
        <w:t xml:space="preserve">communities and leaves their </w:t>
      </w:r>
      <w:r w:rsidR="000D089F">
        <w:rPr>
          <w:rStyle w:val="Emphasis"/>
          <w:i w:val="0"/>
          <w:iCs w:val="0"/>
        </w:rPr>
        <w:t xml:space="preserve">male </w:t>
      </w:r>
      <w:r w:rsidR="00A849C0">
        <w:rPr>
          <w:rStyle w:val="Emphasis"/>
          <w:i w:val="0"/>
          <w:iCs w:val="0"/>
        </w:rPr>
        <w:t>child</w:t>
      </w:r>
      <w:r w:rsidR="0047423F">
        <w:rPr>
          <w:rStyle w:val="Emphasis"/>
          <w:i w:val="0"/>
          <w:iCs w:val="0"/>
        </w:rPr>
        <w:t>ren</w:t>
      </w:r>
      <w:r w:rsidR="00A849C0">
        <w:rPr>
          <w:rStyle w:val="Emphasis"/>
          <w:i w:val="0"/>
          <w:iCs w:val="0"/>
        </w:rPr>
        <w:t xml:space="preserve"> at risk. In this situation, </w:t>
      </w:r>
      <w:r>
        <w:rPr>
          <w:rStyle w:val="Emphasis"/>
          <w:i w:val="0"/>
          <w:iCs w:val="0"/>
        </w:rPr>
        <w:t xml:space="preserve">a </w:t>
      </w:r>
      <w:r w:rsidR="00A849C0">
        <w:rPr>
          <w:rStyle w:val="Emphasis"/>
          <w:i w:val="0"/>
          <w:iCs w:val="0"/>
        </w:rPr>
        <w:t xml:space="preserve">participant suggested a standalone unit </w:t>
      </w:r>
      <w:r w:rsidR="00C16CAE">
        <w:rPr>
          <w:rStyle w:val="Emphasis"/>
          <w:i w:val="0"/>
          <w:iCs w:val="0"/>
        </w:rPr>
        <w:t xml:space="preserve">that they could occupy </w:t>
      </w:r>
      <w:r w:rsidR="0047423F">
        <w:rPr>
          <w:rStyle w:val="Emphasis"/>
          <w:i w:val="0"/>
          <w:iCs w:val="0"/>
        </w:rPr>
        <w:t>as mother and son</w:t>
      </w:r>
      <w:r w:rsidR="00A849C0">
        <w:rPr>
          <w:rStyle w:val="Emphasis"/>
          <w:i w:val="0"/>
          <w:iCs w:val="0"/>
        </w:rPr>
        <w:t xml:space="preserve">. </w:t>
      </w:r>
    </w:p>
    <w:p w14:paraId="550CA813" w14:textId="554560AF" w:rsidR="00A849C0" w:rsidRDefault="00005FD6" w:rsidP="002F419A">
      <w:pPr>
        <w:pStyle w:val="QuoteSmall"/>
        <w:rPr>
          <w:rStyle w:val="Emphasis"/>
          <w:i w:val="0"/>
          <w:iCs/>
        </w:rPr>
      </w:pPr>
      <w:r>
        <w:rPr>
          <w:rStyle w:val="Emphasis"/>
          <w:i w:val="0"/>
          <w:iCs/>
        </w:rPr>
        <w:t>‘</w:t>
      </w:r>
      <w:r w:rsidR="00A849C0" w:rsidRPr="00A849C0">
        <w:rPr>
          <w:rStyle w:val="Emphasis"/>
          <w:i w:val="0"/>
        </w:rPr>
        <w:t>The age</w:t>
      </w:r>
      <w:r w:rsidR="005016B5">
        <w:rPr>
          <w:rStyle w:val="Emphasis"/>
          <w:i w:val="0"/>
        </w:rPr>
        <w:t xml:space="preserve"> [limit]</w:t>
      </w:r>
      <w:r w:rsidR="00A849C0" w:rsidRPr="00A849C0">
        <w:rPr>
          <w:rStyle w:val="Emphasis"/>
          <w:i w:val="0"/>
        </w:rPr>
        <w:t xml:space="preserve"> for male children </w:t>
      </w:r>
      <w:r w:rsidR="005016B5">
        <w:rPr>
          <w:rStyle w:val="Emphasis"/>
          <w:i w:val="0"/>
        </w:rPr>
        <w:t xml:space="preserve">[in emergency accommodation] </w:t>
      </w:r>
      <w:r w:rsidR="00A849C0" w:rsidRPr="00A849C0">
        <w:rPr>
          <w:rStyle w:val="Emphasis"/>
          <w:i w:val="0"/>
        </w:rPr>
        <w:t xml:space="preserve">will need to be lifted as </w:t>
      </w:r>
      <w:r w:rsidR="005016B5">
        <w:rPr>
          <w:rStyle w:val="Emphasis"/>
          <w:i w:val="0"/>
        </w:rPr>
        <w:t xml:space="preserve">only </w:t>
      </w:r>
      <w:r w:rsidR="00A849C0" w:rsidRPr="00A849C0">
        <w:rPr>
          <w:rStyle w:val="Emphasis"/>
          <w:i w:val="0"/>
        </w:rPr>
        <w:t>women and their daughters can access the safe homes</w:t>
      </w:r>
      <w:r w:rsidR="0047423F">
        <w:rPr>
          <w:rStyle w:val="Emphasis"/>
          <w:i w:val="0"/>
        </w:rPr>
        <w:t xml:space="preserve">. </w:t>
      </w:r>
      <w:r w:rsidR="00246731">
        <w:rPr>
          <w:rStyle w:val="Emphasis"/>
          <w:i w:val="0"/>
        </w:rPr>
        <w:t>[</w:t>
      </w:r>
      <w:r w:rsidR="0047423F">
        <w:rPr>
          <w:rStyle w:val="Emphasis"/>
          <w:i w:val="0"/>
        </w:rPr>
        <w:t>Male</w:t>
      </w:r>
      <w:r w:rsidR="00246731">
        <w:rPr>
          <w:rStyle w:val="Emphasis"/>
          <w:i w:val="0"/>
        </w:rPr>
        <w:t>]</w:t>
      </w:r>
      <w:r w:rsidR="0047423F">
        <w:rPr>
          <w:rStyle w:val="Emphasis"/>
          <w:i w:val="0"/>
        </w:rPr>
        <w:t xml:space="preserve"> </w:t>
      </w:r>
      <w:r w:rsidR="00A849C0" w:rsidRPr="00A849C0">
        <w:rPr>
          <w:rStyle w:val="Emphasis"/>
          <w:i w:val="0"/>
        </w:rPr>
        <w:t>child</w:t>
      </w:r>
      <w:r w:rsidR="0047423F">
        <w:rPr>
          <w:rStyle w:val="Emphasis"/>
          <w:i w:val="0"/>
        </w:rPr>
        <w:t>ren</w:t>
      </w:r>
      <w:r w:rsidR="00A849C0" w:rsidRPr="00A849C0">
        <w:rPr>
          <w:rStyle w:val="Emphasis"/>
          <w:i w:val="0"/>
        </w:rPr>
        <w:t xml:space="preserve"> over the age of </w:t>
      </w:r>
      <w:r w:rsidR="00A849C0" w:rsidRPr="00A849C0">
        <w:rPr>
          <w:rStyle w:val="Emphasis"/>
          <w:i w:val="0"/>
          <w:iCs/>
        </w:rPr>
        <w:t>12</w:t>
      </w:r>
      <w:r w:rsidR="0047423F">
        <w:rPr>
          <w:rStyle w:val="Emphasis"/>
          <w:i w:val="0"/>
          <w:iCs/>
        </w:rPr>
        <w:t xml:space="preserve"> or </w:t>
      </w:r>
      <w:r w:rsidR="00A849C0" w:rsidRPr="00A849C0">
        <w:rPr>
          <w:rStyle w:val="Emphasis"/>
          <w:i w:val="0"/>
          <w:iCs/>
        </w:rPr>
        <w:t>14</w:t>
      </w:r>
      <w:r w:rsidR="0047423F">
        <w:rPr>
          <w:rStyle w:val="Emphasis"/>
          <w:i w:val="0"/>
          <w:iCs/>
        </w:rPr>
        <w:t xml:space="preserve"> aren’t allowed. </w:t>
      </w:r>
      <w:r w:rsidR="0047423F">
        <w:rPr>
          <w:rStyle w:val="Emphasis"/>
          <w:i w:val="0"/>
        </w:rPr>
        <w:t xml:space="preserve">So </w:t>
      </w:r>
      <w:r w:rsidR="00A849C0" w:rsidRPr="00A849C0">
        <w:rPr>
          <w:rStyle w:val="Emphasis"/>
          <w:i w:val="0"/>
        </w:rPr>
        <w:t>they are leaving their ma</w:t>
      </w:r>
      <w:r w:rsidR="00A849C0">
        <w:rPr>
          <w:rStyle w:val="Emphasis"/>
          <w:i w:val="0"/>
          <w:iCs/>
        </w:rPr>
        <w:t>l</w:t>
      </w:r>
      <w:r w:rsidR="00A849C0" w:rsidRPr="00A849C0">
        <w:rPr>
          <w:rStyle w:val="Emphasis"/>
          <w:i w:val="0"/>
        </w:rPr>
        <w:t xml:space="preserve">e child at risk. In these scenarios, a </w:t>
      </w:r>
      <w:r w:rsidR="00A849C0" w:rsidRPr="00A849C0">
        <w:rPr>
          <w:rStyle w:val="Emphasis"/>
          <w:i w:val="0"/>
          <w:iCs/>
        </w:rPr>
        <w:t>standalone</w:t>
      </w:r>
      <w:r w:rsidR="00A849C0" w:rsidRPr="00A849C0">
        <w:rPr>
          <w:rStyle w:val="Emphasis"/>
          <w:i w:val="0"/>
        </w:rPr>
        <w:t xml:space="preserve"> unit would work</w:t>
      </w:r>
      <w:r w:rsidR="00AF7EEB">
        <w:rPr>
          <w:rStyle w:val="Emphasis"/>
          <w:i w:val="0"/>
        </w:rPr>
        <w:t>.’</w:t>
      </w:r>
      <w:r w:rsidR="00A849C0">
        <w:rPr>
          <w:rStyle w:val="Emphasis"/>
          <w:i w:val="0"/>
          <w:iCs/>
        </w:rPr>
        <w:t xml:space="preserve"> </w:t>
      </w:r>
      <w:r w:rsidR="00A849C0">
        <w:rPr>
          <w:lang w:eastAsia="en-AU"/>
        </w:rPr>
        <w:t xml:space="preserve">(Stakeholder, </w:t>
      </w:r>
      <w:r w:rsidR="002F419A">
        <w:rPr>
          <w:lang w:eastAsia="en-AU"/>
        </w:rPr>
        <w:t>First Nations</w:t>
      </w:r>
      <w:r w:rsidR="00A849C0">
        <w:rPr>
          <w:lang w:eastAsia="en-AU"/>
        </w:rPr>
        <w:t xml:space="preserve">, </w:t>
      </w:r>
      <w:r w:rsidR="002F419A">
        <w:rPr>
          <w:lang w:eastAsia="en-AU"/>
        </w:rPr>
        <w:t>Regional/Remote</w:t>
      </w:r>
      <w:r w:rsidR="00A849C0">
        <w:rPr>
          <w:lang w:eastAsia="en-AU"/>
        </w:rPr>
        <w:t>)</w:t>
      </w:r>
    </w:p>
    <w:p w14:paraId="6198BE7C" w14:textId="77777777" w:rsidR="002F419A" w:rsidRDefault="002F419A" w:rsidP="0012231E">
      <w:pPr>
        <w:jc w:val="center"/>
        <w:rPr>
          <w:rStyle w:val="Emphasis"/>
          <w:i w:val="0"/>
          <w:iCs w:val="0"/>
        </w:rPr>
      </w:pPr>
    </w:p>
    <w:p w14:paraId="3BD0963B" w14:textId="77F04127" w:rsidR="000D103E" w:rsidRDefault="00403873" w:rsidP="00F6792F">
      <w:pPr>
        <w:rPr>
          <w:rStyle w:val="Emphasis"/>
          <w:i w:val="0"/>
          <w:iCs w:val="0"/>
        </w:rPr>
      </w:pPr>
      <w:r>
        <w:rPr>
          <w:rStyle w:val="Emphasis"/>
          <w:i w:val="0"/>
          <w:iCs w:val="0"/>
        </w:rPr>
        <w:t xml:space="preserve">Stakeholders with expertise working with </w:t>
      </w:r>
      <w:r w:rsidR="000D103E" w:rsidRPr="0003191A">
        <w:rPr>
          <w:rStyle w:val="Emphasis"/>
          <w:i w:val="0"/>
          <w:iCs w:val="0"/>
        </w:rPr>
        <w:t xml:space="preserve">First Nations women and children </w:t>
      </w:r>
      <w:r>
        <w:rPr>
          <w:rStyle w:val="Emphasis"/>
          <w:i w:val="0"/>
          <w:iCs w:val="0"/>
        </w:rPr>
        <w:t>recommended</w:t>
      </w:r>
      <w:r w:rsidR="000D103E" w:rsidRPr="0003191A">
        <w:rPr>
          <w:rStyle w:val="Emphasis"/>
          <w:i w:val="0"/>
          <w:iCs w:val="0"/>
        </w:rPr>
        <w:t xml:space="preserve"> </w:t>
      </w:r>
      <w:r w:rsidRPr="003676FF">
        <w:rPr>
          <w:rStyle w:val="Emphasis"/>
          <w:b/>
          <w:bCs/>
          <w:i w:val="0"/>
          <w:iCs w:val="0"/>
        </w:rPr>
        <w:t xml:space="preserve">being </w:t>
      </w:r>
      <w:r w:rsidR="00701CF7" w:rsidRPr="003676FF">
        <w:rPr>
          <w:rStyle w:val="Emphasis"/>
          <w:b/>
          <w:bCs/>
          <w:i w:val="0"/>
          <w:iCs w:val="0"/>
        </w:rPr>
        <w:t>mindful of the history of the land on which the accommodation is built</w:t>
      </w:r>
      <w:r w:rsidR="00701CF7" w:rsidRPr="0003191A">
        <w:rPr>
          <w:rStyle w:val="Emphasis"/>
          <w:i w:val="0"/>
          <w:iCs w:val="0"/>
        </w:rPr>
        <w:t xml:space="preserve">. Historical events involving First Nations peoples can cause </w:t>
      </w:r>
      <w:r w:rsidR="00165EB7" w:rsidRPr="0003191A">
        <w:rPr>
          <w:rStyle w:val="Emphasis"/>
          <w:i w:val="0"/>
          <w:iCs w:val="0"/>
        </w:rPr>
        <w:t xml:space="preserve">discomfort </w:t>
      </w:r>
      <w:r w:rsidR="008B5BDF" w:rsidRPr="0003191A">
        <w:rPr>
          <w:rStyle w:val="Emphasis"/>
          <w:i w:val="0"/>
          <w:iCs w:val="0"/>
        </w:rPr>
        <w:t xml:space="preserve">or distress </w:t>
      </w:r>
      <w:r w:rsidR="00CA0A84" w:rsidRPr="0003191A">
        <w:rPr>
          <w:rStyle w:val="Emphasis"/>
          <w:i w:val="0"/>
          <w:iCs w:val="0"/>
        </w:rPr>
        <w:t>if they occurred near the accommodation</w:t>
      </w:r>
      <w:r w:rsidR="00701CF7" w:rsidRPr="0003191A">
        <w:rPr>
          <w:rStyle w:val="Emphasis"/>
          <w:i w:val="0"/>
          <w:iCs w:val="0"/>
        </w:rPr>
        <w:t xml:space="preserve">, as well as </w:t>
      </w:r>
      <w:r w:rsidR="008B5BDF" w:rsidRPr="0003191A">
        <w:rPr>
          <w:rStyle w:val="Emphasis"/>
          <w:i w:val="0"/>
          <w:iCs w:val="0"/>
        </w:rPr>
        <w:t xml:space="preserve">potential for some people who hold particular spiritual beliefs to experience ongoing </w:t>
      </w:r>
      <w:r w:rsidR="0003191A" w:rsidRPr="0003191A">
        <w:rPr>
          <w:rStyle w:val="Emphasis"/>
          <w:i w:val="0"/>
          <w:iCs w:val="0"/>
        </w:rPr>
        <w:t xml:space="preserve">connection to a </w:t>
      </w:r>
      <w:r w:rsidR="0003191A" w:rsidRPr="0003191A">
        <w:rPr>
          <w:rStyle w:val="Emphasis"/>
          <w:i w:val="0"/>
          <w:iCs w:val="0"/>
        </w:rPr>
        <w:lastRenderedPageBreak/>
        <w:t>place. Stakeholders suggest</w:t>
      </w:r>
      <w:r w:rsidR="00387E1B">
        <w:rPr>
          <w:rStyle w:val="Emphasis"/>
          <w:i w:val="0"/>
          <w:iCs w:val="0"/>
        </w:rPr>
        <w:t>ed</w:t>
      </w:r>
      <w:r w:rsidR="0003191A" w:rsidRPr="0003191A">
        <w:rPr>
          <w:rStyle w:val="Emphasis"/>
          <w:i w:val="0"/>
          <w:iCs w:val="0"/>
        </w:rPr>
        <w:t xml:space="preserve"> that </w:t>
      </w:r>
      <w:r w:rsidR="006F644E">
        <w:rPr>
          <w:rStyle w:val="Emphasis"/>
          <w:i w:val="0"/>
          <w:iCs w:val="0"/>
        </w:rPr>
        <w:t>clients</w:t>
      </w:r>
      <w:r w:rsidR="0003191A" w:rsidRPr="0003191A">
        <w:rPr>
          <w:rStyle w:val="Emphasis"/>
          <w:i w:val="0"/>
          <w:iCs w:val="0"/>
        </w:rPr>
        <w:t xml:space="preserve"> should have input and choice on location, wi</w:t>
      </w:r>
      <w:r w:rsidR="0003191A" w:rsidRPr="0040526E">
        <w:rPr>
          <w:rStyle w:val="Emphasis"/>
          <w:i w:val="0"/>
          <w:iCs w:val="0"/>
        </w:rPr>
        <w:t>th guidance</w:t>
      </w:r>
      <w:r w:rsidR="0003191A" w:rsidRPr="0003191A">
        <w:rPr>
          <w:rStyle w:val="Emphasis"/>
          <w:i w:val="0"/>
          <w:iCs w:val="0"/>
        </w:rPr>
        <w:t xml:space="preserve"> from local Elders</w:t>
      </w:r>
      <w:r w:rsidR="0040526E">
        <w:rPr>
          <w:rStyle w:val="Emphasis"/>
          <w:i w:val="0"/>
          <w:iCs w:val="0"/>
        </w:rPr>
        <w:t>,</w:t>
      </w:r>
      <w:r w:rsidR="0003191A" w:rsidRPr="0003191A">
        <w:rPr>
          <w:rStyle w:val="Emphasis"/>
          <w:i w:val="0"/>
          <w:iCs w:val="0"/>
        </w:rPr>
        <w:t xml:space="preserve"> </w:t>
      </w:r>
      <w:r w:rsidR="006F644E">
        <w:rPr>
          <w:rStyle w:val="Emphasis"/>
          <w:i w:val="0"/>
          <w:iCs w:val="0"/>
        </w:rPr>
        <w:t>alongside</w:t>
      </w:r>
      <w:r w:rsidR="0003191A" w:rsidRPr="0003191A">
        <w:rPr>
          <w:rStyle w:val="Emphasis"/>
          <w:i w:val="0"/>
          <w:iCs w:val="0"/>
        </w:rPr>
        <w:t xml:space="preserve"> </w:t>
      </w:r>
      <w:r w:rsidR="006F644E">
        <w:rPr>
          <w:rStyle w:val="Emphasis"/>
          <w:i w:val="0"/>
          <w:iCs w:val="0"/>
        </w:rPr>
        <w:t xml:space="preserve">a review of </w:t>
      </w:r>
      <w:r w:rsidR="0003191A" w:rsidRPr="0003191A">
        <w:rPr>
          <w:rStyle w:val="Emphasis"/>
          <w:i w:val="0"/>
          <w:iCs w:val="0"/>
        </w:rPr>
        <w:t>historical events of an area.</w:t>
      </w:r>
      <w:r>
        <w:rPr>
          <w:rStyle w:val="Emphasis"/>
          <w:i w:val="0"/>
          <w:iCs w:val="0"/>
        </w:rPr>
        <w:t xml:space="preserve"> Some First Nations women and children may prefer</w:t>
      </w:r>
      <w:r w:rsidRPr="0003191A">
        <w:rPr>
          <w:rStyle w:val="Emphasis"/>
          <w:i w:val="0"/>
          <w:iCs w:val="0"/>
        </w:rPr>
        <w:t xml:space="preserve"> newly built buildings</w:t>
      </w:r>
      <w:r>
        <w:rPr>
          <w:rStyle w:val="Emphasis"/>
          <w:i w:val="0"/>
          <w:iCs w:val="0"/>
        </w:rPr>
        <w:t xml:space="preserve">. </w:t>
      </w:r>
    </w:p>
    <w:p w14:paraId="4C202096" w14:textId="107BDB0E" w:rsidR="000D103E" w:rsidRDefault="00005FD6" w:rsidP="000D103E">
      <w:pPr>
        <w:pStyle w:val="QuoteSmall"/>
        <w:rPr>
          <w:rStyle w:val="Emphasis"/>
          <w:i w:val="0"/>
          <w:iCs/>
        </w:rPr>
      </w:pPr>
      <w:r>
        <w:rPr>
          <w:rStyle w:val="Emphasis"/>
          <w:i w:val="0"/>
          <w:iCs/>
        </w:rPr>
        <w:t>‘</w:t>
      </w:r>
      <w:r w:rsidR="000D103E" w:rsidRPr="000D103E">
        <w:rPr>
          <w:rStyle w:val="Emphasis"/>
          <w:i w:val="0"/>
        </w:rPr>
        <w:t>I know with Aboriginal women, they like new properties, because of ghosts. But</w:t>
      </w:r>
      <w:r w:rsidR="00CE727B">
        <w:rPr>
          <w:lang w:eastAsia="en-AU"/>
        </w:rPr>
        <w:t xml:space="preserve"> … </w:t>
      </w:r>
      <w:r w:rsidR="000D103E" w:rsidRPr="000D103E">
        <w:rPr>
          <w:rStyle w:val="Emphasis"/>
          <w:i w:val="0"/>
        </w:rPr>
        <w:t>it could just be land that’s haunted, you know what I mean?  So even if you put a new property on there, they’ve still got the history</w:t>
      </w:r>
      <w:r w:rsidR="00CE727B">
        <w:rPr>
          <w:lang w:eastAsia="en-AU"/>
        </w:rPr>
        <w:t xml:space="preserve"> …</w:t>
      </w:r>
      <w:r w:rsidR="000D103E" w:rsidRPr="000D103E">
        <w:rPr>
          <w:rStyle w:val="Emphasis"/>
          <w:i w:val="0"/>
        </w:rPr>
        <w:t xml:space="preserve"> So, I think it’s community that needs to pick that, and if they feel that’s the right feel for them</w:t>
      </w:r>
      <w:r w:rsidR="00AF7EEB">
        <w:rPr>
          <w:rStyle w:val="Emphasis"/>
          <w:i w:val="0"/>
          <w:iCs/>
        </w:rPr>
        <w:t>.’</w:t>
      </w:r>
      <w:r w:rsidR="000D103E">
        <w:rPr>
          <w:rStyle w:val="Emphasis"/>
          <w:i w:val="0"/>
          <w:iCs/>
        </w:rPr>
        <w:t xml:space="preserve"> </w:t>
      </w:r>
      <w:r w:rsidR="000D103E">
        <w:rPr>
          <w:lang w:eastAsia="en-AU"/>
        </w:rPr>
        <w:t>(Stakeholder, First Nations, Regional/Remote)</w:t>
      </w:r>
    </w:p>
    <w:p w14:paraId="078EFB74" w14:textId="77777777" w:rsidR="000D103E" w:rsidRDefault="000D103E" w:rsidP="00F6792F">
      <w:pPr>
        <w:rPr>
          <w:rStyle w:val="Emphasis"/>
          <w:i w:val="0"/>
          <w:iCs w:val="0"/>
        </w:rPr>
      </w:pPr>
    </w:p>
    <w:p w14:paraId="13514645" w14:textId="77777777" w:rsidR="00F706FD" w:rsidRDefault="00F706FD" w:rsidP="00F706FD">
      <w:pPr>
        <w:pStyle w:val="Heading4"/>
      </w:pPr>
      <w:r>
        <w:t>Physical design and cultural features relevant for women and children with disability</w:t>
      </w:r>
    </w:p>
    <w:p w14:paraId="3001703A" w14:textId="43CF5B6F" w:rsidR="00617C9E" w:rsidRPr="003676FF" w:rsidRDefault="006851DD" w:rsidP="00F6792F">
      <w:pPr>
        <w:rPr>
          <w:rStyle w:val="Emphasis"/>
          <w:b/>
          <w:bCs/>
          <w:i w:val="0"/>
          <w:iCs w:val="0"/>
        </w:rPr>
      </w:pPr>
      <w:r>
        <w:rPr>
          <w:rStyle w:val="Emphasis"/>
          <w:i w:val="0"/>
          <w:iCs w:val="0"/>
        </w:rPr>
        <w:t xml:space="preserve">Stakeholders with expertise in the disability sector </w:t>
      </w:r>
      <w:r w:rsidR="00617C9E">
        <w:rPr>
          <w:rStyle w:val="Emphasis"/>
          <w:i w:val="0"/>
          <w:iCs w:val="0"/>
        </w:rPr>
        <w:t xml:space="preserve">raised some physical design features </w:t>
      </w:r>
      <w:r w:rsidR="0040526E">
        <w:rPr>
          <w:rStyle w:val="Emphasis"/>
          <w:i w:val="0"/>
          <w:iCs w:val="0"/>
        </w:rPr>
        <w:t>that</w:t>
      </w:r>
      <w:r w:rsidR="00617C9E">
        <w:rPr>
          <w:rStyle w:val="Emphasis"/>
          <w:i w:val="0"/>
          <w:iCs w:val="0"/>
        </w:rPr>
        <w:t xml:space="preserve"> are especially important when creating appropriate housing for women and children with disability. Most frequently raised was the need for </w:t>
      </w:r>
      <w:r w:rsidR="00617C9E" w:rsidRPr="003676FF">
        <w:rPr>
          <w:rStyle w:val="Emphasis"/>
          <w:b/>
          <w:bCs/>
          <w:i w:val="0"/>
          <w:iCs w:val="0"/>
        </w:rPr>
        <w:t xml:space="preserve">each family to have their own private dwelling, of particular importance when a family member has a physical disability or mental health condition. </w:t>
      </w:r>
    </w:p>
    <w:p w14:paraId="423B2C86" w14:textId="68091CDF" w:rsidR="00617C9E" w:rsidRDefault="00005FD6" w:rsidP="00617C9E">
      <w:pPr>
        <w:pStyle w:val="QuoteSmall"/>
        <w:rPr>
          <w:lang w:eastAsia="en-AU"/>
        </w:rPr>
      </w:pPr>
      <w:r>
        <w:rPr>
          <w:rStyle w:val="Emphasis"/>
          <w:i w:val="0"/>
          <w:iCs/>
        </w:rPr>
        <w:t>‘</w:t>
      </w:r>
      <w:r w:rsidR="00617C9E">
        <w:rPr>
          <w:rStyle w:val="Emphasis"/>
          <w:i w:val="0"/>
          <w:iCs/>
        </w:rPr>
        <w:t>I</w:t>
      </w:r>
      <w:r w:rsidR="00617C9E" w:rsidRPr="00617C9E">
        <w:rPr>
          <w:rStyle w:val="Emphasis"/>
          <w:i w:val="0"/>
        </w:rPr>
        <w:t>n residential care</w:t>
      </w:r>
      <w:r w:rsidR="00C16CAE">
        <w:rPr>
          <w:rStyle w:val="Emphasis"/>
          <w:i w:val="0"/>
        </w:rPr>
        <w:t xml:space="preserve"> </w:t>
      </w:r>
      <w:r w:rsidR="00617C9E">
        <w:rPr>
          <w:rStyle w:val="Emphasis"/>
          <w:i w:val="0"/>
          <w:iCs/>
        </w:rPr>
        <w:t xml:space="preserve">… </w:t>
      </w:r>
      <w:r w:rsidR="00617C9E" w:rsidRPr="00617C9E">
        <w:rPr>
          <w:rStyle w:val="Emphasis"/>
          <w:i w:val="0"/>
        </w:rPr>
        <w:t xml:space="preserve">people like to put like 2 women or 3 women in the same house or one apartment. I think that’s so difficult for women especially </w:t>
      </w:r>
      <w:r w:rsidR="00773305">
        <w:rPr>
          <w:rStyle w:val="Emphasis"/>
          <w:i w:val="0"/>
        </w:rPr>
        <w:t xml:space="preserve">[if] </w:t>
      </w:r>
      <w:r w:rsidR="00617C9E" w:rsidRPr="00617C9E">
        <w:rPr>
          <w:rStyle w:val="Emphasis"/>
          <w:i w:val="0"/>
        </w:rPr>
        <w:t>they have family violence experience, because most of them also have the mental illness and severe PTSD, so to provide them a private space</w:t>
      </w:r>
      <w:r w:rsidR="00CE727B">
        <w:rPr>
          <w:lang w:eastAsia="en-AU"/>
        </w:rPr>
        <w:t xml:space="preserve"> … </w:t>
      </w:r>
      <w:r w:rsidR="00617C9E" w:rsidRPr="00617C9E">
        <w:rPr>
          <w:rStyle w:val="Emphasis"/>
          <w:i w:val="0"/>
        </w:rPr>
        <w:t>is quite important because in that way, some wome</w:t>
      </w:r>
      <w:r w:rsidR="00617C9E" w:rsidRPr="00C16CAE">
        <w:rPr>
          <w:rStyle w:val="Emphasis"/>
          <w:i w:val="0"/>
        </w:rPr>
        <w:t>n their em</w:t>
      </w:r>
      <w:r w:rsidR="00617C9E" w:rsidRPr="00617C9E">
        <w:rPr>
          <w:rStyle w:val="Emphasis"/>
          <w:i w:val="0"/>
        </w:rPr>
        <w:t>otion is quite unstable</w:t>
      </w:r>
      <w:r w:rsidR="00C16CAE">
        <w:rPr>
          <w:rStyle w:val="Emphasis"/>
          <w:i w:val="0"/>
        </w:rPr>
        <w:t xml:space="preserve"> … [then they]</w:t>
      </w:r>
      <w:r w:rsidR="00617C9E" w:rsidRPr="00617C9E">
        <w:rPr>
          <w:rStyle w:val="Emphasis"/>
          <w:i w:val="0"/>
        </w:rPr>
        <w:t xml:space="preserve"> can't affect the other one</w:t>
      </w:r>
      <w:r w:rsidR="00AF7EEB">
        <w:rPr>
          <w:rStyle w:val="Emphasis"/>
          <w:i w:val="0"/>
        </w:rPr>
        <w:t>.’</w:t>
      </w:r>
      <w:r w:rsidR="00617C9E">
        <w:rPr>
          <w:rStyle w:val="Emphasis"/>
          <w:i w:val="0"/>
          <w:iCs/>
        </w:rPr>
        <w:t xml:space="preserve"> </w:t>
      </w:r>
      <w:r w:rsidR="00617C9E">
        <w:rPr>
          <w:lang w:eastAsia="en-AU"/>
        </w:rPr>
        <w:t>(Stakeholder, Disability, Urban)</w:t>
      </w:r>
    </w:p>
    <w:p w14:paraId="7327E725" w14:textId="77777777" w:rsidR="009A235A" w:rsidRDefault="009A235A" w:rsidP="00617C9E">
      <w:pPr>
        <w:pStyle w:val="QuoteSmall"/>
        <w:rPr>
          <w:lang w:eastAsia="en-AU"/>
        </w:rPr>
      </w:pPr>
    </w:p>
    <w:p w14:paraId="5CDB67CE" w14:textId="290648EB" w:rsidR="009A235A" w:rsidRDefault="00005FD6" w:rsidP="00617C9E">
      <w:pPr>
        <w:pStyle w:val="QuoteSmall"/>
        <w:rPr>
          <w:rStyle w:val="Emphasis"/>
          <w:i w:val="0"/>
          <w:iCs/>
        </w:rPr>
      </w:pPr>
      <w:r>
        <w:rPr>
          <w:rStyle w:val="Emphasis"/>
          <w:i w:val="0"/>
          <w:iCs/>
        </w:rPr>
        <w:t>‘</w:t>
      </w:r>
      <w:r w:rsidR="009A235A" w:rsidRPr="009A235A">
        <w:rPr>
          <w:rStyle w:val="Emphasis"/>
          <w:i w:val="0"/>
          <w:iCs/>
        </w:rPr>
        <w:t>I think one house for one family is better than sharing the same house with other families</w:t>
      </w:r>
      <w:r w:rsidR="00AF7EEB">
        <w:rPr>
          <w:rStyle w:val="Emphasis"/>
          <w:i w:val="0"/>
          <w:iCs/>
        </w:rPr>
        <w:t>.’</w:t>
      </w:r>
      <w:r w:rsidR="009A235A">
        <w:rPr>
          <w:rStyle w:val="Emphasis"/>
          <w:i w:val="0"/>
          <w:iCs/>
        </w:rPr>
        <w:t xml:space="preserve"> (</w:t>
      </w:r>
      <w:r w:rsidR="009A235A">
        <w:rPr>
          <w:lang w:eastAsia="en-AU"/>
        </w:rPr>
        <w:t>Stakeholder, Disability, Regional/Remote)</w:t>
      </w:r>
    </w:p>
    <w:p w14:paraId="682A434B" w14:textId="77777777" w:rsidR="00617C9E" w:rsidRDefault="00617C9E" w:rsidP="00F6792F">
      <w:pPr>
        <w:rPr>
          <w:rStyle w:val="Emphasis"/>
          <w:i w:val="0"/>
          <w:iCs w:val="0"/>
        </w:rPr>
      </w:pPr>
    </w:p>
    <w:p w14:paraId="38647EF2" w14:textId="04F38A7E" w:rsidR="00F6792F" w:rsidRDefault="00617C9E" w:rsidP="00F6792F">
      <w:pPr>
        <w:rPr>
          <w:rStyle w:val="Emphasis"/>
          <w:i w:val="0"/>
          <w:iCs w:val="0"/>
        </w:rPr>
      </w:pPr>
      <w:r>
        <w:rPr>
          <w:rStyle w:val="Emphasis"/>
          <w:i w:val="0"/>
          <w:iCs w:val="0"/>
        </w:rPr>
        <w:t xml:space="preserve">Other features </w:t>
      </w:r>
      <w:r w:rsidR="0040526E">
        <w:rPr>
          <w:rStyle w:val="Emphasis"/>
          <w:i w:val="0"/>
          <w:iCs w:val="0"/>
        </w:rPr>
        <w:t>suggested</w:t>
      </w:r>
      <w:r>
        <w:rPr>
          <w:rStyle w:val="Emphasis"/>
          <w:i w:val="0"/>
          <w:iCs w:val="0"/>
        </w:rPr>
        <w:t xml:space="preserve"> by participants include: </w:t>
      </w:r>
    </w:p>
    <w:p w14:paraId="0266D692" w14:textId="5FB8ABE5" w:rsidR="00617C9E" w:rsidRDefault="000D089F" w:rsidP="00617C9E">
      <w:pPr>
        <w:pStyle w:val="Bulletlist"/>
        <w:rPr>
          <w:rStyle w:val="Emphasis"/>
          <w:i w:val="0"/>
          <w:iCs w:val="0"/>
        </w:rPr>
      </w:pPr>
      <w:r>
        <w:rPr>
          <w:rStyle w:val="Emphasis"/>
          <w:i w:val="0"/>
          <w:iCs w:val="0"/>
        </w:rPr>
        <w:t xml:space="preserve">a separate room in the house or apartment for a carer to stay if needed </w:t>
      </w:r>
    </w:p>
    <w:p w14:paraId="3E424B8C" w14:textId="4CA719D5" w:rsidR="00D352E7" w:rsidRDefault="000D089F" w:rsidP="00617C9E">
      <w:pPr>
        <w:pStyle w:val="Bulletlist"/>
        <w:rPr>
          <w:rStyle w:val="Emphasis"/>
          <w:i w:val="0"/>
          <w:iCs w:val="0"/>
        </w:rPr>
      </w:pPr>
      <w:r>
        <w:rPr>
          <w:rStyle w:val="Emphasis"/>
          <w:i w:val="0"/>
          <w:iCs w:val="0"/>
        </w:rPr>
        <w:t xml:space="preserve">rooms tailored to </w:t>
      </w:r>
      <w:r w:rsidR="0040526E">
        <w:rPr>
          <w:rStyle w:val="Emphasis"/>
          <w:i w:val="0"/>
          <w:iCs w:val="0"/>
        </w:rPr>
        <w:t>each</w:t>
      </w:r>
      <w:r>
        <w:rPr>
          <w:rStyle w:val="Emphasis"/>
          <w:i w:val="0"/>
          <w:iCs w:val="0"/>
        </w:rPr>
        <w:t xml:space="preserve"> cli</w:t>
      </w:r>
      <w:r w:rsidRPr="0040526E">
        <w:rPr>
          <w:rStyle w:val="Emphasis"/>
          <w:i w:val="0"/>
          <w:iCs w:val="0"/>
        </w:rPr>
        <w:t>ent</w:t>
      </w:r>
      <w:r w:rsidR="0040526E">
        <w:rPr>
          <w:rStyle w:val="Emphasis"/>
          <w:i w:val="0"/>
          <w:iCs w:val="0"/>
        </w:rPr>
        <w:t>’</w:t>
      </w:r>
      <w:r w:rsidRPr="0040526E">
        <w:rPr>
          <w:rStyle w:val="Emphasis"/>
          <w:i w:val="0"/>
          <w:iCs w:val="0"/>
        </w:rPr>
        <w:t>s specific needs</w:t>
      </w:r>
    </w:p>
    <w:p w14:paraId="10590FA8" w14:textId="721944E1" w:rsidR="00D352E7" w:rsidRDefault="000D089F" w:rsidP="00617C9E">
      <w:pPr>
        <w:pStyle w:val="Bulletlist"/>
        <w:rPr>
          <w:rStyle w:val="Emphasis"/>
          <w:i w:val="0"/>
          <w:iCs w:val="0"/>
        </w:rPr>
      </w:pPr>
      <w:r>
        <w:rPr>
          <w:rStyle w:val="Emphasis"/>
          <w:i w:val="0"/>
          <w:iCs w:val="0"/>
        </w:rPr>
        <w:t>s</w:t>
      </w:r>
      <w:r w:rsidRPr="00414CBE">
        <w:rPr>
          <w:rStyle w:val="Emphasis"/>
          <w:i w:val="0"/>
          <w:iCs w:val="0"/>
        </w:rPr>
        <w:t>ensory awarenes</w:t>
      </w:r>
      <w:r>
        <w:rPr>
          <w:rStyle w:val="Emphasis"/>
          <w:i w:val="0"/>
          <w:iCs w:val="0"/>
        </w:rPr>
        <w:t xml:space="preserve">s in shared spaces, especially for children’s play areas (ensuring that spaces are suitable for those with neurodiversity)  </w:t>
      </w:r>
    </w:p>
    <w:p w14:paraId="43BA69B0" w14:textId="79C4FDF4" w:rsidR="00D352E7" w:rsidRDefault="00414CBE" w:rsidP="00617C9E">
      <w:pPr>
        <w:pStyle w:val="Bulletlist"/>
        <w:rPr>
          <w:rStyle w:val="Emphasis"/>
          <w:i w:val="0"/>
          <w:iCs w:val="0"/>
        </w:rPr>
      </w:pPr>
      <w:r>
        <w:rPr>
          <w:rStyle w:val="Emphasis"/>
          <w:i w:val="0"/>
          <w:iCs w:val="0"/>
        </w:rPr>
        <w:t>contrasting</w:t>
      </w:r>
      <w:r w:rsidR="00D352E7" w:rsidRPr="00414CBE">
        <w:rPr>
          <w:rStyle w:val="Emphasis"/>
          <w:i w:val="0"/>
          <w:iCs w:val="0"/>
        </w:rPr>
        <w:t xml:space="preserve"> colour</w:t>
      </w:r>
      <w:r>
        <w:rPr>
          <w:rStyle w:val="Emphasis"/>
          <w:i w:val="0"/>
          <w:iCs w:val="0"/>
        </w:rPr>
        <w:t>s</w:t>
      </w:r>
      <w:r w:rsidR="00D352E7" w:rsidRPr="00414CBE">
        <w:rPr>
          <w:rStyle w:val="Emphasis"/>
          <w:i w:val="0"/>
          <w:iCs w:val="0"/>
        </w:rPr>
        <w:t xml:space="preserve"> </w:t>
      </w:r>
      <w:r>
        <w:rPr>
          <w:rStyle w:val="Emphasis"/>
          <w:i w:val="0"/>
          <w:iCs w:val="0"/>
        </w:rPr>
        <w:t xml:space="preserve">for </w:t>
      </w:r>
      <w:r w:rsidR="00D352E7" w:rsidRPr="00414CBE">
        <w:rPr>
          <w:rStyle w:val="Emphasis"/>
          <w:i w:val="0"/>
          <w:iCs w:val="0"/>
        </w:rPr>
        <w:t>wal</w:t>
      </w:r>
      <w:r w:rsidR="00D352E7">
        <w:rPr>
          <w:rStyle w:val="Emphasis"/>
          <w:i w:val="0"/>
          <w:iCs w:val="0"/>
        </w:rPr>
        <w:t>ls and furniture, to assist people with vision impairments</w:t>
      </w:r>
      <w:r w:rsidR="000D089F">
        <w:rPr>
          <w:rStyle w:val="Emphasis"/>
          <w:i w:val="0"/>
          <w:iCs w:val="0"/>
        </w:rPr>
        <w:t>.</w:t>
      </w:r>
      <w:r w:rsidR="00D352E7">
        <w:rPr>
          <w:rStyle w:val="Emphasis"/>
          <w:i w:val="0"/>
          <w:iCs w:val="0"/>
        </w:rPr>
        <w:t xml:space="preserve"> </w:t>
      </w:r>
    </w:p>
    <w:p w14:paraId="6C2F8794" w14:textId="2A1FD83B" w:rsidR="00595E59" w:rsidRDefault="00005FD6" w:rsidP="00CA0541">
      <w:pPr>
        <w:pStyle w:val="QuoteSmall"/>
        <w:rPr>
          <w:rStyle w:val="Emphasis"/>
          <w:i w:val="0"/>
          <w:iCs/>
        </w:rPr>
      </w:pPr>
      <w:r>
        <w:rPr>
          <w:rStyle w:val="Emphasis"/>
          <w:i w:val="0"/>
          <w:iCs/>
        </w:rPr>
        <w:t>‘</w:t>
      </w:r>
      <w:r w:rsidR="00595E59">
        <w:rPr>
          <w:rStyle w:val="Emphasis"/>
          <w:i w:val="0"/>
          <w:iCs/>
        </w:rPr>
        <w:t>In</w:t>
      </w:r>
      <w:r w:rsidR="00595E59" w:rsidRPr="00595E59">
        <w:rPr>
          <w:rStyle w:val="Emphasis"/>
          <w:i w:val="0"/>
          <w:iCs/>
        </w:rPr>
        <w:t xml:space="preserve"> my experience, some NDIS clients, they need 24 hours support. So maybe 2 bedroom is better for them because one is for carer and one is for the client</w:t>
      </w:r>
      <w:r w:rsidR="00AF7EEB">
        <w:rPr>
          <w:rStyle w:val="Emphasis"/>
          <w:i w:val="0"/>
          <w:iCs/>
        </w:rPr>
        <w:t>.’</w:t>
      </w:r>
      <w:r w:rsidR="00595E59">
        <w:rPr>
          <w:rStyle w:val="Emphasis"/>
          <w:i w:val="0"/>
          <w:iCs/>
        </w:rPr>
        <w:t xml:space="preserve"> (</w:t>
      </w:r>
      <w:r w:rsidR="00595E59">
        <w:rPr>
          <w:lang w:eastAsia="en-AU"/>
        </w:rPr>
        <w:t>Stakeholder, Disability, Regional/Remote)</w:t>
      </w:r>
    </w:p>
    <w:p w14:paraId="76712928" w14:textId="62A3EE8E" w:rsidR="00D352E7" w:rsidRPr="00F6792F" w:rsidRDefault="00005FD6" w:rsidP="00595E59">
      <w:pPr>
        <w:pStyle w:val="QuoteSmall"/>
        <w:rPr>
          <w:rStyle w:val="Emphasis"/>
          <w:i w:val="0"/>
          <w:iCs/>
        </w:rPr>
      </w:pPr>
      <w:r>
        <w:rPr>
          <w:rStyle w:val="Emphasis"/>
          <w:i w:val="0"/>
          <w:iCs/>
        </w:rPr>
        <w:lastRenderedPageBreak/>
        <w:t>‘</w:t>
      </w:r>
      <w:r w:rsidR="00595E59">
        <w:rPr>
          <w:rStyle w:val="Emphasis"/>
          <w:i w:val="0"/>
          <w:iCs/>
        </w:rPr>
        <w:t>I</w:t>
      </w:r>
      <w:r w:rsidR="00595E59" w:rsidRPr="00595E59">
        <w:rPr>
          <w:rStyle w:val="Emphasis"/>
          <w:i w:val="0"/>
        </w:rPr>
        <w:t>t's very difficult for people with disability to navigate</w:t>
      </w:r>
      <w:r w:rsidR="00CE727B">
        <w:rPr>
          <w:lang w:eastAsia="en-AU"/>
        </w:rPr>
        <w:t xml:space="preserve"> … </w:t>
      </w:r>
      <w:r w:rsidR="00595E59" w:rsidRPr="00595E59">
        <w:rPr>
          <w:rStyle w:val="Emphasis"/>
          <w:i w:val="0"/>
        </w:rPr>
        <w:t>you could have the walls with different colours that allowed them to see easily furniture and chairs and cushions</w:t>
      </w:r>
      <w:r w:rsidR="00AF7EEB">
        <w:rPr>
          <w:rStyle w:val="Emphasis"/>
          <w:i w:val="0"/>
        </w:rPr>
        <w:t>.’</w:t>
      </w:r>
      <w:r w:rsidR="00595E59">
        <w:rPr>
          <w:rStyle w:val="Emphasis"/>
          <w:i w:val="0"/>
          <w:iCs/>
        </w:rPr>
        <w:t xml:space="preserve"> </w:t>
      </w:r>
      <w:r w:rsidR="00595E59">
        <w:rPr>
          <w:lang w:eastAsia="en-AU"/>
        </w:rPr>
        <w:t>(Stakeholder, Disability, Urban)</w:t>
      </w:r>
    </w:p>
    <w:p w14:paraId="6E44CF0D" w14:textId="77777777" w:rsidR="00595E59" w:rsidRDefault="00595E59" w:rsidP="00595E59"/>
    <w:p w14:paraId="60C818BC" w14:textId="271CAA00" w:rsidR="00E64164" w:rsidRDefault="00414CBE" w:rsidP="00595E59">
      <w:r>
        <w:t>All p</w:t>
      </w:r>
      <w:r w:rsidR="00FB0F35" w:rsidRPr="00414CBE">
        <w:t>articipants were asked about the appropriateness of the Livable Housing Silver Level for</w:t>
      </w:r>
      <w:r w:rsidR="00FB0F35">
        <w:t xml:space="preserve"> emergency accommodation for women and children who have experience</w:t>
      </w:r>
      <w:r w:rsidR="00E543DA">
        <w:t>d</w:t>
      </w:r>
      <w:r w:rsidR="00FB0F35">
        <w:t xml:space="preserve"> domestic violence. </w:t>
      </w:r>
      <w:r>
        <w:t>P</w:t>
      </w:r>
      <w:r w:rsidR="00FB0F35">
        <w:t>articipa</w:t>
      </w:r>
      <w:r>
        <w:t xml:space="preserve">nts largely </w:t>
      </w:r>
      <w:r w:rsidR="00FB0F35">
        <w:t>felt the Silver Level was appropriate</w:t>
      </w:r>
      <w:r w:rsidR="00E64164">
        <w:t xml:space="preserve"> for most women and children</w:t>
      </w:r>
      <w:r w:rsidR="00FB0F35">
        <w:t xml:space="preserve">, </w:t>
      </w:r>
      <w:r w:rsidR="00E64164">
        <w:t>howeve</w:t>
      </w:r>
      <w:r w:rsidR="00E64164" w:rsidRPr="00C16CAE">
        <w:t xml:space="preserve">r </w:t>
      </w:r>
      <w:r w:rsidR="00E64164" w:rsidRPr="003676FF">
        <w:rPr>
          <w:b/>
          <w:bCs/>
        </w:rPr>
        <w:t>to be fully accessible to people with a disability, the design should meet Gold or Platinum Level</w:t>
      </w:r>
      <w:r w:rsidR="00E64164">
        <w:t xml:space="preserve">. </w:t>
      </w:r>
    </w:p>
    <w:p w14:paraId="7769DD9A" w14:textId="00222CF4" w:rsidR="00F62390" w:rsidRDefault="00E64164" w:rsidP="00595E59">
      <w:r>
        <w:t>Some participants</w:t>
      </w:r>
      <w:r w:rsidR="00FB0F35">
        <w:t xml:space="preserve"> comment</w:t>
      </w:r>
      <w:r>
        <w:t>ed</w:t>
      </w:r>
      <w:r w:rsidR="00FB0F35">
        <w:t xml:space="preserve"> on </w:t>
      </w:r>
      <w:r>
        <w:t xml:space="preserve">other elements that should be included for accessible emergency accommodation, </w:t>
      </w:r>
      <w:r w:rsidR="00ED38C0">
        <w:t xml:space="preserve">such as </w:t>
      </w:r>
      <w:r w:rsidR="00CB378D">
        <w:t xml:space="preserve">accessible benchtops and surfaces </w:t>
      </w:r>
      <w:r w:rsidR="0087553E">
        <w:t xml:space="preserve">that are an appropriate height </w:t>
      </w:r>
      <w:r w:rsidR="00CB378D">
        <w:t>for people who use a wheelchair</w:t>
      </w:r>
      <w:r>
        <w:t xml:space="preserve">, and </w:t>
      </w:r>
      <w:r w:rsidR="00F62390">
        <w:t xml:space="preserve">a full wet room rather than just </w:t>
      </w:r>
      <w:r w:rsidR="00F62390" w:rsidRPr="008F3070">
        <w:t>a ho</w:t>
      </w:r>
      <w:r w:rsidR="00F62390">
        <w:t xml:space="preserve">bless shower. </w:t>
      </w:r>
      <w:r w:rsidR="00ED38C0">
        <w:t>One</w:t>
      </w:r>
      <w:r w:rsidR="008E563B">
        <w:t xml:space="preserve"> participant</w:t>
      </w:r>
      <w:r w:rsidR="00535149">
        <w:t xml:space="preserve"> </w:t>
      </w:r>
      <w:r w:rsidR="008E563B">
        <w:t xml:space="preserve">questioned why </w:t>
      </w:r>
      <w:r w:rsidR="008F3070">
        <w:t>grab rails are</w:t>
      </w:r>
      <w:r w:rsidR="008E563B">
        <w:t xml:space="preserve"> not already required in </w:t>
      </w:r>
      <w:r>
        <w:t>al</w:t>
      </w:r>
      <w:r w:rsidRPr="008F3070">
        <w:t>l</w:t>
      </w:r>
      <w:r w:rsidR="008E563B" w:rsidRPr="008F3070">
        <w:t xml:space="preserve"> bathrooms, ra</w:t>
      </w:r>
      <w:r w:rsidR="008E563B">
        <w:t xml:space="preserve">ther than requiring the walls to be reinforced in the </w:t>
      </w:r>
      <w:r w:rsidR="008E563B" w:rsidRPr="008F3070">
        <w:t>event of in</w:t>
      </w:r>
      <w:r w:rsidR="008E563B">
        <w:t>stallation</w:t>
      </w:r>
      <w:r>
        <w:t>.</w:t>
      </w:r>
    </w:p>
    <w:p w14:paraId="33676012" w14:textId="60863653" w:rsidR="008E563B" w:rsidRDefault="00005FD6" w:rsidP="008E563B">
      <w:pPr>
        <w:pStyle w:val="QuoteSmall"/>
        <w:rPr>
          <w:lang w:eastAsia="en-AU"/>
        </w:rPr>
      </w:pPr>
      <w:r>
        <w:rPr>
          <w:lang w:eastAsia="en-AU"/>
        </w:rPr>
        <w:t>‘</w:t>
      </w:r>
      <w:r w:rsidR="008E563B">
        <w:rPr>
          <w:lang w:eastAsia="en-AU"/>
        </w:rPr>
        <w:t>W</w:t>
      </w:r>
      <w:r w:rsidR="008E563B" w:rsidRPr="008E563B">
        <w:rPr>
          <w:lang w:eastAsia="en-AU"/>
        </w:rPr>
        <w:t xml:space="preserve">here it says, </w:t>
      </w:r>
      <w:r w:rsidR="00286809">
        <w:rPr>
          <w:lang w:eastAsia="en-AU"/>
        </w:rPr>
        <w:t>:</w:t>
      </w:r>
      <w:r w:rsidR="008E563B" w:rsidRPr="008E563B">
        <w:rPr>
          <w:lang w:eastAsia="en-AU"/>
        </w:rPr>
        <w:t>safe installation of grab rails at a later date</w:t>
      </w:r>
      <w:r w:rsidR="00286809">
        <w:rPr>
          <w:lang w:eastAsia="en-AU"/>
        </w:rPr>
        <w:t>”</w:t>
      </w:r>
      <w:r w:rsidR="008E563B" w:rsidRPr="008E563B">
        <w:rPr>
          <w:lang w:eastAsia="en-AU"/>
        </w:rPr>
        <w:t>. I mean, why can't you just do it when you build it? Because renovat</w:t>
      </w:r>
      <w:r w:rsidR="008E563B">
        <w:rPr>
          <w:lang w:eastAsia="en-AU"/>
        </w:rPr>
        <w:t>ion</w:t>
      </w:r>
      <w:r w:rsidR="008E563B" w:rsidRPr="008E563B">
        <w:rPr>
          <w:lang w:eastAsia="en-AU"/>
        </w:rPr>
        <w:t xml:space="preserve"> is always more costly, and if you put grab rails, which are much stronger, so</w:t>
      </w:r>
      <w:r w:rsidR="00CE727B">
        <w:rPr>
          <w:lang w:eastAsia="en-AU"/>
        </w:rPr>
        <w:t xml:space="preserve"> … </w:t>
      </w:r>
      <w:r w:rsidR="008E563B" w:rsidRPr="008E563B">
        <w:rPr>
          <w:lang w:eastAsia="en-AU"/>
        </w:rPr>
        <w:t>from day one, the person using that is already well protected</w:t>
      </w:r>
      <w:r w:rsidR="00AF7EEB">
        <w:rPr>
          <w:lang w:eastAsia="en-AU"/>
        </w:rPr>
        <w:t>.’</w:t>
      </w:r>
      <w:r w:rsidR="008E563B">
        <w:rPr>
          <w:lang w:eastAsia="en-AU"/>
        </w:rPr>
        <w:t xml:space="preserve"> (Stakeholder, Disability, Urban)</w:t>
      </w:r>
    </w:p>
    <w:p w14:paraId="1FDD6796" w14:textId="77777777" w:rsidR="008E563B" w:rsidRDefault="008E563B" w:rsidP="008E563B">
      <w:pPr>
        <w:pStyle w:val="QuoteSmall"/>
        <w:rPr>
          <w:lang w:eastAsia="en-AU"/>
        </w:rPr>
      </w:pPr>
    </w:p>
    <w:p w14:paraId="0BDB9F31" w14:textId="4E7FD61E" w:rsidR="008E563B" w:rsidRPr="008E563B" w:rsidRDefault="00005FD6" w:rsidP="008E563B">
      <w:pPr>
        <w:pStyle w:val="QuoteSmall"/>
        <w:rPr>
          <w:lang w:eastAsia="en-AU"/>
        </w:rPr>
      </w:pPr>
      <w:r>
        <w:rPr>
          <w:lang w:eastAsia="en-AU"/>
        </w:rPr>
        <w:t>‘</w:t>
      </w:r>
      <w:r w:rsidR="008E563B" w:rsidRPr="008E563B">
        <w:rPr>
          <w:lang w:eastAsia="en-AU"/>
        </w:rPr>
        <w:t>Silver is fine as a design spec if somebody doesn't have a mobility aid. But considering most families</w:t>
      </w:r>
      <w:r w:rsidR="00CE727B">
        <w:rPr>
          <w:lang w:eastAsia="en-AU"/>
        </w:rPr>
        <w:t xml:space="preserve"> … </w:t>
      </w:r>
      <w:r w:rsidR="008E563B" w:rsidRPr="008E563B">
        <w:rPr>
          <w:lang w:eastAsia="en-AU"/>
        </w:rPr>
        <w:t>that we service ha</w:t>
      </w:r>
      <w:r w:rsidR="008E563B">
        <w:rPr>
          <w:lang w:eastAsia="en-AU"/>
        </w:rPr>
        <w:t>ve</w:t>
      </w:r>
      <w:r w:rsidR="008E563B" w:rsidRPr="008E563B">
        <w:rPr>
          <w:lang w:eastAsia="en-AU"/>
        </w:rPr>
        <w:t xml:space="preserve"> a mobility or a disability, it's better to probably go with the </w:t>
      </w:r>
      <w:r w:rsidR="008F3070">
        <w:rPr>
          <w:lang w:eastAsia="en-AU"/>
        </w:rPr>
        <w:t>P</w:t>
      </w:r>
      <w:r w:rsidR="008E563B" w:rsidRPr="008F3070">
        <w:rPr>
          <w:lang w:eastAsia="en-AU"/>
        </w:rPr>
        <w:t>latin</w:t>
      </w:r>
      <w:r w:rsidR="008E563B" w:rsidRPr="008E563B">
        <w:rPr>
          <w:lang w:eastAsia="en-AU"/>
        </w:rPr>
        <w:t xml:space="preserve">um </w:t>
      </w:r>
      <w:r w:rsidR="008E563B">
        <w:rPr>
          <w:lang w:eastAsia="en-AU"/>
        </w:rPr>
        <w:t>or</w:t>
      </w:r>
      <w:r w:rsidR="008E563B" w:rsidRPr="008E563B">
        <w:rPr>
          <w:lang w:eastAsia="en-AU"/>
        </w:rPr>
        <w:t xml:space="preserve"> the </w:t>
      </w:r>
      <w:r w:rsidR="008F3070">
        <w:rPr>
          <w:lang w:eastAsia="en-AU"/>
        </w:rPr>
        <w:t>G</w:t>
      </w:r>
      <w:r w:rsidR="008E563B" w:rsidRPr="008E563B">
        <w:rPr>
          <w:lang w:eastAsia="en-AU"/>
        </w:rPr>
        <w:t>old as a standard set because the requirements</w:t>
      </w:r>
      <w:r w:rsidR="008F3070">
        <w:rPr>
          <w:lang w:eastAsia="en-AU"/>
        </w:rPr>
        <w:t xml:space="preserve"> </w:t>
      </w:r>
      <w:r w:rsidR="008E563B">
        <w:rPr>
          <w:lang w:eastAsia="en-AU"/>
        </w:rPr>
        <w:t xml:space="preserve">… </w:t>
      </w:r>
      <w:r w:rsidR="008E563B" w:rsidRPr="008E563B">
        <w:rPr>
          <w:lang w:eastAsia="en-AU"/>
        </w:rPr>
        <w:t>But I guess it depends on the proposal on which cohort that you plan on delivering to</w:t>
      </w:r>
      <w:r w:rsidR="00AF7EEB">
        <w:rPr>
          <w:lang w:eastAsia="en-AU"/>
        </w:rPr>
        <w:t>.’</w:t>
      </w:r>
      <w:r w:rsidR="008E563B">
        <w:rPr>
          <w:lang w:eastAsia="en-AU"/>
        </w:rPr>
        <w:t xml:space="preserve"> (Stakeholder, Disability, Urban)</w:t>
      </w:r>
    </w:p>
    <w:p w14:paraId="0376C909" w14:textId="77777777" w:rsidR="008E563B" w:rsidRPr="008E563B" w:rsidRDefault="008E563B" w:rsidP="008E56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hAnsi="Arial" w:cs="Arial"/>
          <w:color w:val="auto"/>
          <w:sz w:val="20"/>
          <w:szCs w:val="20"/>
          <w:lang w:eastAsia="en-AU"/>
        </w:rPr>
      </w:pPr>
    </w:p>
    <w:p w14:paraId="7F0B1484" w14:textId="77777777" w:rsidR="008E563B" w:rsidRPr="00595E59" w:rsidRDefault="008E563B" w:rsidP="00595E59"/>
    <w:p w14:paraId="671EF945" w14:textId="77777777" w:rsidR="00F709CA" w:rsidRDefault="00F709CA" w:rsidP="00F709CA">
      <w:pPr>
        <w:pStyle w:val="Heading3"/>
      </w:pPr>
      <w:r>
        <w:t>Location</w:t>
      </w:r>
    </w:p>
    <w:p w14:paraId="2A4DCCDF" w14:textId="3D2CFD0E" w:rsidR="00813786" w:rsidRDefault="00813786" w:rsidP="007D12A2">
      <w:r w:rsidRPr="00ED38C0">
        <w:t>Participants were asked about appropriate location</w:t>
      </w:r>
      <w:r w:rsidR="00ED38C0">
        <w:t>s</w:t>
      </w:r>
      <w:r w:rsidRPr="00ED38C0">
        <w:t xml:space="preserve"> for emergency housing. </w:t>
      </w:r>
      <w:r w:rsidR="00ED38C0">
        <w:t>Several</w:t>
      </w:r>
      <w:r w:rsidRPr="00ED38C0">
        <w:t xml:space="preserve"> sector</w:t>
      </w:r>
      <w:r>
        <w:t xml:space="preserve"> stakeholders raised </w:t>
      </w:r>
      <w:r w:rsidRPr="00381FF5">
        <w:rPr>
          <w:b/>
          <w:bCs/>
        </w:rPr>
        <w:t>the importance of accommodation being in a central location</w:t>
      </w:r>
      <w:r w:rsidR="00B41277">
        <w:rPr>
          <w:b/>
          <w:bCs/>
        </w:rPr>
        <w:t xml:space="preserve"> (</w:t>
      </w:r>
      <w:r w:rsidRPr="00381FF5">
        <w:rPr>
          <w:b/>
          <w:bCs/>
        </w:rPr>
        <w:t>though not on a main road</w:t>
      </w:r>
      <w:r w:rsidR="00B41277">
        <w:rPr>
          <w:b/>
          <w:bCs/>
        </w:rPr>
        <w:t>)</w:t>
      </w:r>
      <w:r w:rsidRPr="00381FF5">
        <w:rPr>
          <w:b/>
          <w:bCs/>
        </w:rPr>
        <w:t xml:space="preserve"> and in an understated building to protect the safety and privacy of the women and children</w:t>
      </w:r>
      <w:r>
        <w:t xml:space="preserve"> residing there. </w:t>
      </w:r>
      <w:r w:rsidR="002578B5" w:rsidRPr="00B41277">
        <w:t>This a particular issue for women and children from CALD backgrounds, as some cultural</w:t>
      </w:r>
      <w:r w:rsidR="002578B5">
        <w:t xml:space="preserve"> or linguistic </w:t>
      </w:r>
      <w:r w:rsidR="002578B5" w:rsidRPr="00B41277">
        <w:t>communities can be small (especially in regional and remote areas) and there may be stigma</w:t>
      </w:r>
      <w:r w:rsidR="002578B5">
        <w:t xml:space="preserve"> surrounding domestic violence, and women leaving their partners. </w:t>
      </w:r>
      <w:r w:rsidR="00B41277">
        <w:t>One</w:t>
      </w:r>
      <w:r w:rsidR="001651A5">
        <w:t xml:space="preserve"> participant noted the </w:t>
      </w:r>
      <w:r w:rsidR="001651A5" w:rsidRPr="00B41277">
        <w:t>importance of a quiet area</w:t>
      </w:r>
      <w:r w:rsidR="00C7517C" w:rsidRPr="00B41277">
        <w:t>, as areas with lots of disruption and sirens, for example, may cause distress</w:t>
      </w:r>
      <w:r w:rsidR="00C7517C">
        <w:t xml:space="preserve"> or anxiety for women and children with a lived experience of domestic violence. </w:t>
      </w:r>
    </w:p>
    <w:p w14:paraId="05B943B5" w14:textId="0A05D8E9" w:rsidR="00813786" w:rsidRDefault="00005FD6" w:rsidP="001275F3">
      <w:pPr>
        <w:pStyle w:val="QuoteSmall"/>
        <w:rPr>
          <w:lang w:eastAsia="en-AU"/>
        </w:rPr>
      </w:pPr>
      <w:r>
        <w:t>‘</w:t>
      </w:r>
      <w:r w:rsidR="001275F3">
        <w:t>I</w:t>
      </w:r>
      <w:r w:rsidR="001275F3" w:rsidRPr="001275F3">
        <w:t>t needs to be central</w:t>
      </w:r>
      <w:r w:rsidR="00CE727B">
        <w:rPr>
          <w:lang w:eastAsia="en-AU"/>
        </w:rPr>
        <w:t xml:space="preserve"> … </w:t>
      </w:r>
      <w:r w:rsidR="001275F3" w:rsidRPr="001275F3">
        <w:t xml:space="preserve">but not on a main street, because women still want a degree of privacy and anonymity when they're accessing these services. So centrally located, but not a </w:t>
      </w:r>
      <w:r w:rsidR="001275F3" w:rsidRPr="001275F3">
        <w:lastRenderedPageBreak/>
        <w:t>brand-new building with bells and whistles on a main street</w:t>
      </w:r>
      <w:r w:rsidR="00AF7EEB">
        <w:t>.’</w:t>
      </w:r>
      <w:r w:rsidR="001275F3">
        <w:t xml:space="preserve"> (</w:t>
      </w:r>
      <w:r w:rsidR="001275F3">
        <w:rPr>
          <w:lang w:eastAsia="en-AU"/>
        </w:rPr>
        <w:t>Stakeholder, Disability, Regional/Remote)</w:t>
      </w:r>
    </w:p>
    <w:p w14:paraId="2F672F2D" w14:textId="77777777" w:rsidR="001651A5" w:rsidRDefault="001651A5" w:rsidP="001275F3">
      <w:pPr>
        <w:pStyle w:val="QuoteSmall"/>
        <w:rPr>
          <w:lang w:eastAsia="en-AU"/>
        </w:rPr>
      </w:pPr>
    </w:p>
    <w:p w14:paraId="2489A292" w14:textId="01F4E8BE" w:rsidR="002578B5" w:rsidRDefault="00005FD6" w:rsidP="001275F3">
      <w:pPr>
        <w:pStyle w:val="QuoteSmall"/>
        <w:rPr>
          <w:lang w:eastAsia="en-AU"/>
        </w:rPr>
      </w:pPr>
      <w:r>
        <w:rPr>
          <w:lang w:eastAsia="en-AU"/>
        </w:rPr>
        <w:t>‘</w:t>
      </w:r>
      <w:r w:rsidR="002578B5">
        <w:rPr>
          <w:lang w:eastAsia="en-AU"/>
        </w:rPr>
        <w:t xml:space="preserve">I </w:t>
      </w:r>
      <w:r w:rsidR="002578B5" w:rsidRPr="002578B5">
        <w:rPr>
          <w:lang w:eastAsia="en-AU"/>
        </w:rPr>
        <w:t>know people who will continue to live in an abusive household, just because everybody knows them</w:t>
      </w:r>
      <w:r w:rsidR="002578B5">
        <w:rPr>
          <w:lang w:eastAsia="en-AU"/>
        </w:rPr>
        <w:t>,</w:t>
      </w:r>
      <w:r w:rsidR="002578B5" w:rsidRPr="002578B5">
        <w:rPr>
          <w:lang w:eastAsia="en-AU"/>
        </w:rPr>
        <w:t xml:space="preserve"> and they don’t want that sort of shame to be a part of their journey</w:t>
      </w:r>
      <w:r w:rsidR="00AF7EEB">
        <w:rPr>
          <w:lang w:eastAsia="en-AU"/>
        </w:rPr>
        <w:t>.’</w:t>
      </w:r>
      <w:r w:rsidR="00A87AD2">
        <w:rPr>
          <w:lang w:eastAsia="en-AU"/>
        </w:rPr>
        <w:t xml:space="preserve"> </w:t>
      </w:r>
      <w:r w:rsidR="002578B5">
        <w:rPr>
          <w:lang w:eastAsia="en-AU"/>
        </w:rPr>
        <w:t xml:space="preserve">(Stakeholder, CALD, Regional/Remote) </w:t>
      </w:r>
    </w:p>
    <w:p w14:paraId="4F2E90FB" w14:textId="77777777" w:rsidR="002578B5" w:rsidRDefault="002578B5" w:rsidP="001275F3">
      <w:pPr>
        <w:pStyle w:val="QuoteSmall"/>
        <w:rPr>
          <w:lang w:eastAsia="en-AU"/>
        </w:rPr>
      </w:pPr>
    </w:p>
    <w:p w14:paraId="487CD423" w14:textId="0E6594B0" w:rsidR="001651A5" w:rsidRDefault="00005FD6" w:rsidP="001275F3">
      <w:pPr>
        <w:pStyle w:val="QuoteSmall"/>
      </w:pPr>
      <w:r>
        <w:t>‘</w:t>
      </w:r>
      <w:r w:rsidR="001651A5">
        <w:t>S</w:t>
      </w:r>
      <w:r w:rsidR="001651A5" w:rsidRPr="001651A5">
        <w:t>ome [women and children] get anxious livi</w:t>
      </w:r>
      <w:r w:rsidR="001651A5" w:rsidRPr="008F3070">
        <w:t xml:space="preserve">ng in </w:t>
      </w:r>
      <w:r w:rsidR="008F3070">
        <w:t xml:space="preserve">a </w:t>
      </w:r>
      <w:r w:rsidR="001651A5" w:rsidRPr="008F3070">
        <w:t>noisy</w:t>
      </w:r>
      <w:r w:rsidR="001651A5" w:rsidRPr="001651A5">
        <w:t xml:space="preserve"> area, [including when there are] police siren</w:t>
      </w:r>
      <w:r w:rsidR="001651A5">
        <w:t>s</w:t>
      </w:r>
      <w:r w:rsidR="001651A5" w:rsidRPr="001651A5">
        <w:t xml:space="preserve"> and person</w:t>
      </w:r>
      <w:r w:rsidR="001651A5">
        <w:t>s</w:t>
      </w:r>
      <w:r w:rsidR="001651A5" w:rsidRPr="001651A5">
        <w:t xml:space="preserve"> of authority</w:t>
      </w:r>
      <w:r w:rsidR="00AF7EEB">
        <w:t>.’</w:t>
      </w:r>
      <w:r w:rsidR="001651A5">
        <w:t xml:space="preserve"> (Stakeholder, CALD, Urban) </w:t>
      </w:r>
    </w:p>
    <w:p w14:paraId="77E30C37" w14:textId="77777777" w:rsidR="001275F3" w:rsidRDefault="001275F3" w:rsidP="00813786"/>
    <w:p w14:paraId="5C58A173" w14:textId="3EA408CB" w:rsidR="00F709CA" w:rsidRDefault="00F709CA" w:rsidP="00813786">
      <w:r w:rsidRPr="008F3070">
        <w:t>While main</w:t>
      </w:r>
      <w:r w:rsidRPr="00B41277">
        <w:t>taining privacy</w:t>
      </w:r>
      <w:r w:rsidR="001651A5" w:rsidRPr="00B41277">
        <w:t xml:space="preserve"> and </w:t>
      </w:r>
      <w:r w:rsidR="003946FC" w:rsidRPr="00B41277">
        <w:t>quietness</w:t>
      </w:r>
      <w:r w:rsidRPr="00B41277">
        <w:t xml:space="preserve">, </w:t>
      </w:r>
      <w:r w:rsidR="008F3070">
        <w:t>an</w:t>
      </w:r>
      <w:r w:rsidRPr="00B41277">
        <w:t xml:space="preserve">other aspect of the location </w:t>
      </w:r>
      <w:r w:rsidR="008F3070">
        <w:t xml:space="preserve">frequently </w:t>
      </w:r>
      <w:r w:rsidRPr="00B41277">
        <w:t>raised as</w:t>
      </w:r>
      <w:r>
        <w:t xml:space="preserve"> important for emergency accommodation</w:t>
      </w:r>
      <w:r w:rsidR="008F3070">
        <w:t xml:space="preserve"> </w:t>
      </w:r>
      <w:r w:rsidR="002578B5" w:rsidRPr="00381FF5">
        <w:rPr>
          <w:b/>
          <w:bCs/>
        </w:rPr>
        <w:t>was ensuring the accommodation was close to shops and public transport.</w:t>
      </w:r>
      <w:r w:rsidR="002578B5">
        <w:t xml:space="preserve"> </w:t>
      </w:r>
      <w:r w:rsidR="00D5174F">
        <w:t xml:space="preserve">Other needs </w:t>
      </w:r>
      <w:r w:rsidR="00D5174F" w:rsidRPr="00403E70">
        <w:t xml:space="preserve">for location </w:t>
      </w:r>
      <w:r w:rsidR="00D5174F">
        <w:t>include</w:t>
      </w:r>
      <w:r w:rsidR="00403E70">
        <w:t>d</w:t>
      </w:r>
      <w:r w:rsidR="00D5174F">
        <w:t xml:space="preserve"> proximity to: </w:t>
      </w:r>
    </w:p>
    <w:p w14:paraId="4F36A233" w14:textId="733B8B22" w:rsidR="00D5174F" w:rsidRDefault="004D1665" w:rsidP="00D5174F">
      <w:pPr>
        <w:pStyle w:val="Bulletlist"/>
      </w:pPr>
      <w:r>
        <w:t>their prior neighbourhood or location, so they do not need to completely relocate</w:t>
      </w:r>
    </w:p>
    <w:p w14:paraId="7DF96E2B" w14:textId="49A79477" w:rsidR="00D5174F" w:rsidRDefault="004D1665" w:rsidP="00D5174F">
      <w:pPr>
        <w:pStyle w:val="Bulletlist"/>
      </w:pPr>
      <w:r>
        <w:t>child</w:t>
      </w:r>
      <w:r w:rsidR="000A16FE">
        <w:t xml:space="preserve"> </w:t>
      </w:r>
      <w:r>
        <w:t xml:space="preserve">care and schooling </w:t>
      </w:r>
    </w:p>
    <w:p w14:paraId="65045A2F" w14:textId="33A8CE9B" w:rsidR="00C26960" w:rsidRDefault="004D1665" w:rsidP="00D5174F">
      <w:pPr>
        <w:pStyle w:val="Bulletlist"/>
      </w:pPr>
      <w:r>
        <w:t>ot</w:t>
      </w:r>
      <w:r w:rsidR="00C26960">
        <w:t>her supports and services, such as Centrelink and banks.</w:t>
      </w:r>
    </w:p>
    <w:p w14:paraId="7304B2EF" w14:textId="7CBE53D5" w:rsidR="00C26960" w:rsidRDefault="00005FD6" w:rsidP="00C26960">
      <w:pPr>
        <w:pStyle w:val="QuoteSmall"/>
      </w:pPr>
      <w:r>
        <w:t>‘</w:t>
      </w:r>
      <w:r w:rsidR="00C26960">
        <w:t>[It should be] c</w:t>
      </w:r>
      <w:r w:rsidR="00C26960" w:rsidRPr="00C26960">
        <w:t>lose to the special school, close to the primary school, close to the shops, reasonably close to like Cent</w:t>
      </w:r>
      <w:r w:rsidR="00C26960">
        <w:t>re</w:t>
      </w:r>
      <w:r w:rsidR="00C26960" w:rsidRPr="00C26960">
        <w:t>link, and close to services. Because don't forget that in a lot of country areas public transport is really limited. So, women are either on foot or relying on transport through other people</w:t>
      </w:r>
      <w:r w:rsidR="00AF7EEB">
        <w:t>.’</w:t>
      </w:r>
      <w:r w:rsidR="00C26960">
        <w:t xml:space="preserve"> (</w:t>
      </w:r>
      <w:r w:rsidR="00C26960">
        <w:rPr>
          <w:lang w:eastAsia="en-AU"/>
        </w:rPr>
        <w:t>Stakeholder, Disability, Regional/Remote)</w:t>
      </w:r>
    </w:p>
    <w:p w14:paraId="16517051" w14:textId="77777777" w:rsidR="00D641F2" w:rsidRDefault="00D641F2" w:rsidP="00813786"/>
    <w:p w14:paraId="4D4E7FB5" w14:textId="3C8AB482" w:rsidR="002D7651" w:rsidRDefault="00B663FF" w:rsidP="00BC5AF1">
      <w:r w:rsidRPr="00B41277">
        <w:t xml:space="preserve">For women and children from CALD backgrounds, one stakeholder flagged </w:t>
      </w:r>
      <w:r w:rsidR="00B41277">
        <w:t xml:space="preserve">the importance of </w:t>
      </w:r>
      <w:r w:rsidRPr="00B41277">
        <w:t xml:space="preserve">accommodation </w:t>
      </w:r>
      <w:r w:rsidR="00B41277">
        <w:t>being</w:t>
      </w:r>
      <w:r w:rsidRPr="00B41277">
        <w:t xml:space="preserve"> close to community</w:t>
      </w:r>
      <w:r w:rsidR="0012231E" w:rsidRPr="00B41277">
        <w:t xml:space="preserve"> and ethno-specific</w:t>
      </w:r>
      <w:r w:rsidRPr="00B41277">
        <w:t xml:space="preserve"> grocery store</w:t>
      </w:r>
      <w:r w:rsidR="0012231E" w:rsidRPr="00B41277">
        <w:t>s</w:t>
      </w:r>
      <w:r w:rsidRPr="00B41277">
        <w:t xml:space="preserve">, as some women from </w:t>
      </w:r>
      <w:r w:rsidR="0012231E" w:rsidRPr="00B41277">
        <w:t xml:space="preserve">particular </w:t>
      </w:r>
      <w:r w:rsidRPr="00B41277">
        <w:t>cultural backgrounds prefer not to shop at major supermarkets like Coles and Woolworths.</w:t>
      </w:r>
      <w:r>
        <w:t xml:space="preserve"> </w:t>
      </w:r>
    </w:p>
    <w:p w14:paraId="57862A01" w14:textId="662EBF9B" w:rsidR="002D7651" w:rsidRDefault="002D7651" w:rsidP="002D7651">
      <w:pPr>
        <w:pStyle w:val="Heading2"/>
      </w:pPr>
      <w:bookmarkStart w:id="25" w:name="_Toc147910402"/>
      <w:r w:rsidRPr="00B110D1">
        <w:t>What other supports</w:t>
      </w:r>
      <w:r w:rsidR="00CE38C2">
        <w:t xml:space="preserve"> or </w:t>
      </w:r>
      <w:r w:rsidRPr="00B110D1">
        <w:t xml:space="preserve">services are needed to support victim-survivor women and children from </w:t>
      </w:r>
      <w:r w:rsidR="00D96A55">
        <w:t>First Nations</w:t>
      </w:r>
      <w:r w:rsidRPr="00B110D1">
        <w:t>, CALD and disability backgrounds when they are in emergency accommodation? Which are most critical and at what time points?</w:t>
      </w:r>
      <w:bookmarkEnd w:id="25"/>
    </w:p>
    <w:p w14:paraId="51064DBE" w14:textId="51C5FF3D" w:rsidR="002D7651" w:rsidRDefault="003513C4" w:rsidP="00D716B9">
      <w:r>
        <w:t xml:space="preserve">The most frequent suggestion about supports for women and children in emergency accommodation made across stakeholder cohorts was </w:t>
      </w:r>
      <w:r w:rsidRPr="00570235">
        <w:rPr>
          <w:b/>
          <w:bCs/>
        </w:rPr>
        <w:t>the need for a support worker or case manager for each individual</w:t>
      </w:r>
      <w:r>
        <w:t xml:space="preserve">. </w:t>
      </w:r>
      <w:r w:rsidR="00B83383">
        <w:t>Many participants, w</w:t>
      </w:r>
      <w:r w:rsidR="005849BE">
        <w:t>ith</w:t>
      </w:r>
      <w:r w:rsidR="00B83383">
        <w:t xml:space="preserve"> a variety of cohort expertise, stressed this was the most critical support </w:t>
      </w:r>
      <w:r w:rsidR="00B41277">
        <w:t xml:space="preserve">required </w:t>
      </w:r>
      <w:r w:rsidR="00B83383">
        <w:t>for women and children</w:t>
      </w:r>
      <w:r w:rsidR="005849BE">
        <w:t xml:space="preserve">. Support workers can </w:t>
      </w:r>
      <w:r w:rsidR="00B41277">
        <w:t>help</w:t>
      </w:r>
      <w:r w:rsidR="005849BE">
        <w:t xml:space="preserve"> </w:t>
      </w:r>
      <w:r w:rsidR="00B41277">
        <w:t>them</w:t>
      </w:r>
      <w:r w:rsidR="005849BE">
        <w:t xml:space="preserve"> access and navigat</w:t>
      </w:r>
      <w:r w:rsidR="00B41277">
        <w:t>e</w:t>
      </w:r>
      <w:r w:rsidR="005849BE">
        <w:t xml:space="preserve"> broader systems, transport and other practical supports, and also </w:t>
      </w:r>
      <w:r w:rsidR="00A70FE2">
        <w:t xml:space="preserve">provide </w:t>
      </w:r>
      <w:r w:rsidR="005849BE">
        <w:t xml:space="preserve">emotional support. </w:t>
      </w:r>
      <w:r w:rsidR="00CE5BE6">
        <w:t>I</w:t>
      </w:r>
      <w:r w:rsidR="005849BE">
        <w:t>mportant</w:t>
      </w:r>
      <w:r w:rsidR="00CE5BE6">
        <w:t xml:space="preserve">ly, </w:t>
      </w:r>
      <w:r w:rsidR="00CE5BE6">
        <w:lastRenderedPageBreak/>
        <w:t>participants stressed</w:t>
      </w:r>
      <w:r w:rsidR="005849BE">
        <w:t xml:space="preserve"> support workers </w:t>
      </w:r>
      <w:r w:rsidR="00CE5BE6">
        <w:t xml:space="preserve">and case managers must </w:t>
      </w:r>
      <w:r w:rsidR="005849BE">
        <w:t>have expertise in domestic violence</w:t>
      </w:r>
      <w:r w:rsidR="00033946">
        <w:t xml:space="preserve"> and train</w:t>
      </w:r>
      <w:r w:rsidR="00A70FE2">
        <w:t>ing</w:t>
      </w:r>
      <w:r w:rsidR="00033946">
        <w:t xml:space="preserve"> in trauma-informed service provision</w:t>
      </w:r>
      <w:r w:rsidR="00CE5BE6">
        <w:t>.</w:t>
      </w:r>
      <w:r w:rsidR="005849BE">
        <w:t xml:space="preserve"> </w:t>
      </w:r>
    </w:p>
    <w:p w14:paraId="79E142A5" w14:textId="0637F973" w:rsidR="00CE2CAF" w:rsidRDefault="00005FD6" w:rsidP="005849BE">
      <w:pPr>
        <w:pStyle w:val="QuoteSmall"/>
      </w:pPr>
      <w:r>
        <w:t>‘</w:t>
      </w:r>
      <w:r w:rsidR="005849BE" w:rsidRPr="005849BE">
        <w:t xml:space="preserve">A support worker who can take them anywhere to access and navigate the different systems around town and provide assistance with </w:t>
      </w:r>
      <w:r w:rsidR="00403E70" w:rsidRPr="00403E70">
        <w:t>tra</w:t>
      </w:r>
      <w:r w:rsidR="00403E70" w:rsidRPr="005849BE">
        <w:t>nsitional housing</w:t>
      </w:r>
      <w:r w:rsidR="00AF7EEB">
        <w:t>.’</w:t>
      </w:r>
      <w:r w:rsidR="005849BE">
        <w:t xml:space="preserve"> (Stakeholder, CALD, Regional/Remote) </w:t>
      </w:r>
    </w:p>
    <w:p w14:paraId="51C69EDD" w14:textId="77777777" w:rsidR="005849BE" w:rsidRDefault="005849BE" w:rsidP="005849BE">
      <w:pPr>
        <w:pStyle w:val="QuoteSmall"/>
      </w:pPr>
    </w:p>
    <w:p w14:paraId="4BC965EB" w14:textId="59E63E1E" w:rsidR="005849BE" w:rsidRDefault="00005FD6" w:rsidP="005849BE">
      <w:pPr>
        <w:pStyle w:val="QuoteSmall"/>
      </w:pPr>
      <w:r>
        <w:t>‘</w:t>
      </w:r>
      <w:r w:rsidR="005849BE" w:rsidRPr="005849BE">
        <w:t xml:space="preserve">I think they need </w:t>
      </w:r>
      <w:r w:rsidR="006F644E">
        <w:t>an</w:t>
      </w:r>
      <w:r w:rsidR="005849BE" w:rsidRPr="005849BE">
        <w:t xml:space="preserve"> individual case manager or support worker</w:t>
      </w:r>
      <w:r w:rsidR="006F644E">
        <w:t>…</w:t>
      </w:r>
      <w:r w:rsidR="005849BE" w:rsidRPr="005849BE">
        <w:t>like the DV support workers who really understand domestic and family violence</w:t>
      </w:r>
      <w:r w:rsidR="00CE727B">
        <w:rPr>
          <w:lang w:eastAsia="en-AU"/>
        </w:rPr>
        <w:t xml:space="preserve"> … </w:t>
      </w:r>
      <w:r w:rsidR="005849BE" w:rsidRPr="005849BE">
        <w:t xml:space="preserve">the support worker can </w:t>
      </w:r>
      <w:r w:rsidR="006F644E">
        <w:t xml:space="preserve">also </w:t>
      </w:r>
      <w:r w:rsidR="005849BE" w:rsidRPr="005849BE">
        <w:t xml:space="preserve">provide the women </w:t>
      </w:r>
      <w:r w:rsidR="006F644E">
        <w:t>with</w:t>
      </w:r>
      <w:r w:rsidR="005849BE" w:rsidRPr="005849BE">
        <w:t xml:space="preserve"> practical needs like t</w:t>
      </w:r>
      <w:r w:rsidR="006F644E">
        <w:t>aking</w:t>
      </w:r>
      <w:r w:rsidR="005849BE" w:rsidRPr="005849BE">
        <w:t xml:space="preserve"> them out</w:t>
      </w:r>
      <w:r w:rsidR="00CE727B">
        <w:rPr>
          <w:lang w:eastAsia="en-AU"/>
        </w:rPr>
        <w:t xml:space="preserve"> …</w:t>
      </w:r>
      <w:r w:rsidR="00814F64">
        <w:t>’</w:t>
      </w:r>
      <w:r w:rsidR="005849BE">
        <w:t xml:space="preserve"> (Stakeholder, Disability, Urban) </w:t>
      </w:r>
    </w:p>
    <w:p w14:paraId="0857B5DA" w14:textId="77777777" w:rsidR="005849BE" w:rsidRDefault="005849BE" w:rsidP="005849BE">
      <w:pPr>
        <w:pStyle w:val="QuoteSmall"/>
      </w:pPr>
    </w:p>
    <w:p w14:paraId="27E818A1" w14:textId="58717A8E" w:rsidR="005849BE" w:rsidRDefault="00005FD6" w:rsidP="00D5061E">
      <w:pPr>
        <w:pStyle w:val="QuoteSmall"/>
      </w:pPr>
      <w:r>
        <w:t>‘</w:t>
      </w:r>
      <w:r w:rsidR="005849BE">
        <w:t>A c</w:t>
      </w:r>
      <w:r w:rsidR="005849BE" w:rsidRPr="005849BE">
        <w:t>ase manager can help them to find the approp</w:t>
      </w:r>
      <w:r w:rsidR="005849BE" w:rsidRPr="00403E70">
        <w:t>riate services</w:t>
      </w:r>
      <w:r w:rsidR="00403E70">
        <w:t xml:space="preserve"> …</w:t>
      </w:r>
      <w:r w:rsidR="005849BE" w:rsidRPr="00403E70">
        <w:t xml:space="preserve"> they ca</w:t>
      </w:r>
      <w:r w:rsidR="005849BE" w:rsidRPr="005849BE">
        <w:t>n help with assessing the GPs, psychologists, or psychiatrists</w:t>
      </w:r>
      <w:r w:rsidR="005849BE">
        <w:t>…</w:t>
      </w:r>
      <w:r w:rsidR="005849BE" w:rsidRPr="005849BE">
        <w:t>and then also help them to find long-term accommodation</w:t>
      </w:r>
      <w:r w:rsidR="00CE727B">
        <w:rPr>
          <w:lang w:eastAsia="en-AU"/>
        </w:rPr>
        <w:t xml:space="preserve"> …</w:t>
      </w:r>
      <w:r w:rsidR="00403E70">
        <w:rPr>
          <w:lang w:eastAsia="en-AU"/>
        </w:rPr>
        <w:t xml:space="preserve"> </w:t>
      </w:r>
      <w:r w:rsidR="005849BE">
        <w:t xml:space="preserve">and </w:t>
      </w:r>
      <w:r w:rsidR="005849BE" w:rsidRPr="005849BE">
        <w:t>help them to learn some basic skills to live independently. I mean how to budget, pay bills and attend appointmen</w:t>
      </w:r>
      <w:r w:rsidR="005849BE">
        <w:t>t</w:t>
      </w:r>
      <w:r w:rsidR="00037ABC">
        <w:t>s</w:t>
      </w:r>
      <w:r w:rsidR="00AF7EEB">
        <w:t>.’</w:t>
      </w:r>
      <w:r w:rsidR="005849BE" w:rsidRPr="005849BE">
        <w:t xml:space="preserve"> </w:t>
      </w:r>
      <w:r w:rsidR="005849BE">
        <w:t>(Stakeholder, Disability, Urban)</w:t>
      </w:r>
    </w:p>
    <w:p w14:paraId="0E05A751" w14:textId="77777777" w:rsidR="00CE5BE6" w:rsidRDefault="00CE5BE6" w:rsidP="005849BE">
      <w:pPr>
        <w:pStyle w:val="QuoteSmall"/>
      </w:pPr>
    </w:p>
    <w:p w14:paraId="09F08534" w14:textId="14776EEF" w:rsidR="00CE5BE6" w:rsidRDefault="00005FD6" w:rsidP="005849BE">
      <w:pPr>
        <w:pStyle w:val="QuoteSmall"/>
      </w:pPr>
      <w:r>
        <w:t>‘</w:t>
      </w:r>
      <w:r w:rsidR="00CE5BE6" w:rsidRPr="00CE5BE6">
        <w:t>There should be case management attached to each client. This range</w:t>
      </w:r>
      <w:r w:rsidR="00CE5BE6">
        <w:t>s</w:t>
      </w:r>
      <w:r w:rsidR="00CE5BE6" w:rsidRPr="00CE5BE6">
        <w:t xml:space="preserve"> from emergency support at time of crisis to long</w:t>
      </w:r>
      <w:r w:rsidR="00037ABC">
        <w:t>-</w:t>
      </w:r>
      <w:r w:rsidR="00CE5BE6" w:rsidRPr="00CE5BE6">
        <w:t>term supports for women who are transiting into the community</w:t>
      </w:r>
      <w:r w:rsidR="00AF7EEB">
        <w:t>.’</w:t>
      </w:r>
      <w:r w:rsidR="00CE5BE6">
        <w:t xml:space="preserve"> (Stakeholder, First Nations, Regional/Remote) </w:t>
      </w:r>
    </w:p>
    <w:p w14:paraId="6B32C6E6" w14:textId="77777777" w:rsidR="005849BE" w:rsidRDefault="005849BE" w:rsidP="00CE5BE6"/>
    <w:p w14:paraId="16054970" w14:textId="782EC0F5" w:rsidR="00CE5BE6" w:rsidRDefault="0000159D" w:rsidP="00CE5BE6">
      <w:r>
        <w:t xml:space="preserve">Participants reported </w:t>
      </w:r>
      <w:r w:rsidRPr="006F644E">
        <w:rPr>
          <w:b/>
          <w:bCs/>
        </w:rPr>
        <w:t xml:space="preserve">a case manager or support worker is needed </w:t>
      </w:r>
      <w:r w:rsidRPr="00403E70">
        <w:rPr>
          <w:b/>
          <w:bCs/>
        </w:rPr>
        <w:t xml:space="preserve">immediately </w:t>
      </w:r>
      <w:r w:rsidR="00403E70">
        <w:rPr>
          <w:b/>
          <w:bCs/>
        </w:rPr>
        <w:t>when</w:t>
      </w:r>
      <w:r w:rsidRPr="00403E70">
        <w:rPr>
          <w:b/>
          <w:bCs/>
        </w:rPr>
        <w:t xml:space="preserve"> a w</w:t>
      </w:r>
      <w:r w:rsidRPr="006F644E">
        <w:rPr>
          <w:b/>
          <w:bCs/>
        </w:rPr>
        <w:t>oman or child moves into emergency accommodation, and should then continue during the time they are there, until they transition into the community</w:t>
      </w:r>
      <w:r>
        <w:t xml:space="preserve">. </w:t>
      </w:r>
      <w:r w:rsidR="00C14DC2">
        <w:t xml:space="preserve">Some participants suggest </w:t>
      </w:r>
      <w:r w:rsidR="008D3552">
        <w:t>case managers</w:t>
      </w:r>
      <w:r w:rsidR="00C14DC2">
        <w:t xml:space="preserve"> should be </w:t>
      </w:r>
      <w:r w:rsidR="00C14DC2" w:rsidRPr="000A16FE">
        <w:t>on</w:t>
      </w:r>
      <w:r w:rsidR="00910136">
        <w:t xml:space="preserve"> </w:t>
      </w:r>
      <w:r w:rsidR="00C14DC2" w:rsidRPr="000A16FE">
        <w:t>s</w:t>
      </w:r>
      <w:r w:rsidR="00C14DC2">
        <w:t>ite at the accommodation a</w:t>
      </w:r>
      <w:r w:rsidR="00C14DC2" w:rsidRPr="008D3552">
        <w:t>nd available 24 hours.</w:t>
      </w:r>
      <w:r w:rsidR="00C14DC2">
        <w:t xml:space="preserve"> </w:t>
      </w:r>
    </w:p>
    <w:p w14:paraId="63DF061B" w14:textId="372AB064" w:rsidR="00C14DC2" w:rsidRDefault="00005FD6" w:rsidP="00C14DC2">
      <w:pPr>
        <w:pStyle w:val="QuoteSmall"/>
      </w:pPr>
      <w:r>
        <w:t>‘</w:t>
      </w:r>
      <w:r w:rsidR="00C14DC2" w:rsidRPr="00C14DC2">
        <w:t>Most importantly, they need access to trauma</w:t>
      </w:r>
      <w:r w:rsidR="00C14DC2">
        <w:t>-</w:t>
      </w:r>
      <w:r w:rsidR="00C14DC2" w:rsidRPr="00C14DC2">
        <w:t>informed support services. Right from the get-go, they need case management to assess what is the current need</w:t>
      </w:r>
      <w:r w:rsidR="00C14DC2" w:rsidRPr="00403E70">
        <w:t>. So</w:t>
      </w:r>
      <w:r w:rsidR="00403E70">
        <w:t>,</w:t>
      </w:r>
      <w:r w:rsidR="00C14DC2" w:rsidRPr="00403E70">
        <w:t xml:space="preserve"> once the</w:t>
      </w:r>
      <w:r w:rsidR="00C14DC2" w:rsidRPr="00C14DC2">
        <w:t>y are safe, physically safe from harm</w:t>
      </w:r>
      <w:r w:rsidR="00AF7EEB">
        <w:t>.’</w:t>
      </w:r>
      <w:r w:rsidR="00C14DC2">
        <w:t xml:space="preserve"> (Stakeholder, Disability, Regional/Remote) </w:t>
      </w:r>
    </w:p>
    <w:p w14:paraId="7DFA3164" w14:textId="77777777" w:rsidR="00C14DC2" w:rsidRDefault="00C14DC2" w:rsidP="00CE5BE6"/>
    <w:p w14:paraId="0245C5A3" w14:textId="485B6D11" w:rsidR="0000159D" w:rsidRDefault="008D3552" w:rsidP="00CE5BE6">
      <w:r>
        <w:t>Participants suggested o</w:t>
      </w:r>
      <w:r w:rsidR="0000159D">
        <w:t xml:space="preserve">ther supports and services needed </w:t>
      </w:r>
      <w:r>
        <w:t xml:space="preserve">for </w:t>
      </w:r>
      <w:r w:rsidR="0000159D">
        <w:t xml:space="preserve">women and children generally in emergency accommodation, </w:t>
      </w:r>
      <w:r>
        <w:t>such as</w:t>
      </w:r>
      <w:r w:rsidR="0000159D">
        <w:t xml:space="preserve">: </w:t>
      </w:r>
    </w:p>
    <w:p w14:paraId="49BBBEE1" w14:textId="16BCCB34" w:rsidR="0000159D" w:rsidRDefault="000A16FE" w:rsidP="0000159D">
      <w:pPr>
        <w:pStyle w:val="Bulletlist"/>
      </w:pPr>
      <w:r>
        <w:t>socialising events or opportunities to connect with others</w:t>
      </w:r>
    </w:p>
    <w:p w14:paraId="42968E37" w14:textId="5FA7F67A" w:rsidR="0000159D" w:rsidRDefault="000A16FE" w:rsidP="0000159D">
      <w:pPr>
        <w:pStyle w:val="Bulletlist"/>
      </w:pPr>
      <w:r>
        <w:t>child care</w:t>
      </w:r>
    </w:p>
    <w:p w14:paraId="24DAA19C" w14:textId="6E8CB794" w:rsidR="002E7FF3" w:rsidRDefault="000A16FE" w:rsidP="0000159D">
      <w:pPr>
        <w:pStyle w:val="Bulletlist"/>
      </w:pPr>
      <w:r>
        <w:t>l</w:t>
      </w:r>
      <w:r w:rsidR="002E7FF3">
        <w:t>egal services</w:t>
      </w:r>
    </w:p>
    <w:p w14:paraId="7276980A" w14:textId="63EE3580" w:rsidR="002E7FF3" w:rsidRDefault="000A16FE" w:rsidP="0000159D">
      <w:pPr>
        <w:pStyle w:val="Bulletlist"/>
      </w:pPr>
      <w:r>
        <w:t>employment counselling</w:t>
      </w:r>
    </w:p>
    <w:p w14:paraId="4AB3A494" w14:textId="0D3E4BAE" w:rsidR="002E7FF3" w:rsidRDefault="000A16FE" w:rsidP="0000159D">
      <w:pPr>
        <w:pStyle w:val="Bulletlist"/>
      </w:pPr>
      <w:r>
        <w:t>f</w:t>
      </w:r>
      <w:r w:rsidR="002E7FF3">
        <w:t>inancial services</w:t>
      </w:r>
      <w:r>
        <w:t>.</w:t>
      </w:r>
      <w:r w:rsidR="002E7FF3">
        <w:t xml:space="preserve"> </w:t>
      </w:r>
    </w:p>
    <w:p w14:paraId="68BD9FCC" w14:textId="29F121B2" w:rsidR="002E7FF3" w:rsidRDefault="002E7FF3" w:rsidP="005D722F">
      <w:r>
        <w:lastRenderedPageBreak/>
        <w:t>Aside from a case manager</w:t>
      </w:r>
      <w:r w:rsidR="005D722F">
        <w:t xml:space="preserve"> or support worker</w:t>
      </w:r>
      <w:r>
        <w:t xml:space="preserve">, </w:t>
      </w:r>
      <w:r w:rsidR="005D722F">
        <w:t xml:space="preserve">participants in each of the groups </w:t>
      </w:r>
      <w:r w:rsidR="008D3552">
        <w:t xml:space="preserve">also </w:t>
      </w:r>
      <w:r w:rsidR="005D722F" w:rsidRPr="006445EC">
        <w:rPr>
          <w:b/>
          <w:bCs/>
        </w:rPr>
        <w:t>identified counselling and emotional support</w:t>
      </w:r>
      <w:r w:rsidR="002B7B9D">
        <w:t xml:space="preserve"> as critical. The view among most participants is that women and </w:t>
      </w:r>
      <w:r w:rsidR="002B7B9D" w:rsidRPr="00525E28">
        <w:t>children need immediate practical and emotional support, and to ensure their personal safety. A</w:t>
      </w:r>
      <w:r w:rsidR="00525E28">
        <w:t xml:space="preserve">fter </w:t>
      </w:r>
      <w:r w:rsidR="002B7B9D" w:rsidRPr="00525E28">
        <w:t>that</w:t>
      </w:r>
      <w:r w:rsidR="002B7B9D">
        <w:t xml:space="preserve"> point, other services can be prioritised. </w:t>
      </w:r>
    </w:p>
    <w:p w14:paraId="4DA853BD" w14:textId="3803ECD7" w:rsidR="00CE5BE6" w:rsidRPr="00CE5BE6" w:rsidRDefault="00005FD6" w:rsidP="00033946">
      <w:pPr>
        <w:pStyle w:val="QuoteSmall"/>
      </w:pPr>
      <w:r>
        <w:t>‘</w:t>
      </w:r>
      <w:r w:rsidR="00033946" w:rsidRPr="00033946">
        <w:t>I think counselling or emotional support should go side by side with practical support, because once you go into a refuge, your life kind of goes upside down</w:t>
      </w:r>
      <w:r w:rsidR="00AF7EEB">
        <w:t>.’</w:t>
      </w:r>
      <w:r w:rsidR="00033946">
        <w:t xml:space="preserve"> (Stakeholder, Disability, Urban)</w:t>
      </w:r>
    </w:p>
    <w:p w14:paraId="4DA15273" w14:textId="77777777" w:rsidR="00F21A34" w:rsidRDefault="00F21A34" w:rsidP="00033946"/>
    <w:p w14:paraId="40E4E8FC" w14:textId="6535C9E4" w:rsidR="002B7B9D" w:rsidRPr="003D4F60" w:rsidRDefault="00EF41E0" w:rsidP="00033946">
      <w:pPr>
        <w:rPr>
          <w:b/>
          <w:bCs/>
        </w:rPr>
      </w:pPr>
      <w:r>
        <w:t xml:space="preserve">While a majority of supports and services raised by participants are relevant for all women and children, </w:t>
      </w:r>
      <w:r w:rsidRPr="008D590F">
        <w:rPr>
          <w:b/>
          <w:bCs/>
        </w:rPr>
        <w:t>stakeholders suggested some that are particularly critical for women and children from CALD background</w:t>
      </w:r>
      <w:r w:rsidR="005D2DAC">
        <w:rPr>
          <w:b/>
          <w:bCs/>
        </w:rPr>
        <w:t>s</w:t>
      </w:r>
      <w:r w:rsidRPr="007904BF">
        <w:rPr>
          <w:b/>
          <w:bCs/>
        </w:rPr>
        <w:t>. Most frequently reported was the need for language support</w:t>
      </w:r>
      <w:r w:rsidR="009A2E97">
        <w:t xml:space="preserve"> through translated materials and interpreters,</w:t>
      </w:r>
      <w:r>
        <w:t xml:space="preserve"> </w:t>
      </w:r>
      <w:r w:rsidR="001475D6">
        <w:t xml:space="preserve">and </w:t>
      </w:r>
      <w:r w:rsidR="001475D6" w:rsidRPr="003D4F60">
        <w:rPr>
          <w:b/>
          <w:bCs/>
        </w:rPr>
        <w:t xml:space="preserve">legal assistance for migration and visa support.  </w:t>
      </w:r>
    </w:p>
    <w:p w14:paraId="28CAD1E8" w14:textId="1E3E1F93" w:rsidR="00DF39F8" w:rsidRDefault="00005FD6" w:rsidP="00DF39F8">
      <w:pPr>
        <w:pStyle w:val="QuoteSmall"/>
      </w:pPr>
      <w:r>
        <w:t>‘</w:t>
      </w:r>
      <w:r w:rsidR="009A2E97">
        <w:t>L</w:t>
      </w:r>
      <w:r w:rsidR="009A2E97" w:rsidRPr="009A2E97">
        <w:t xml:space="preserve">anguage </w:t>
      </w:r>
      <w:r w:rsidR="00037ABC">
        <w:t>s</w:t>
      </w:r>
      <w:r w:rsidR="009A2E97" w:rsidRPr="009A2E97">
        <w:t>upport</w:t>
      </w:r>
      <w:r w:rsidR="00CE727B">
        <w:rPr>
          <w:lang w:eastAsia="en-AU"/>
        </w:rPr>
        <w:t xml:space="preserve"> … </w:t>
      </w:r>
      <w:r w:rsidR="00037ABC">
        <w:t>e</w:t>
      </w:r>
      <w:r w:rsidR="009A2E97" w:rsidRPr="009A2E97">
        <w:t>ven for basic things</w:t>
      </w:r>
      <w:r w:rsidR="00CE727B">
        <w:rPr>
          <w:lang w:eastAsia="en-AU"/>
        </w:rPr>
        <w:t xml:space="preserve"> … </w:t>
      </w:r>
      <w:r w:rsidR="009A2E97" w:rsidRPr="009A2E97">
        <w:t>and especially legal document</w:t>
      </w:r>
      <w:r w:rsidR="00F067F0">
        <w:t>s</w:t>
      </w:r>
      <w:r w:rsidR="00AF7EEB">
        <w:t>.’</w:t>
      </w:r>
      <w:r w:rsidR="00F067F0">
        <w:t xml:space="preserve"> (Stakeholder, CALD, Regional/Remote)</w:t>
      </w:r>
    </w:p>
    <w:p w14:paraId="07E37A44" w14:textId="77777777" w:rsidR="00DF39F8" w:rsidRDefault="00DF39F8" w:rsidP="00DF39F8">
      <w:pPr>
        <w:pStyle w:val="QuoteSmall"/>
      </w:pPr>
    </w:p>
    <w:p w14:paraId="3CD63308" w14:textId="504E0273" w:rsidR="002B7B9D" w:rsidRDefault="00005FD6" w:rsidP="00DF39F8">
      <w:pPr>
        <w:pStyle w:val="QuoteSmall"/>
      </w:pPr>
      <w:r>
        <w:t>‘</w:t>
      </w:r>
      <w:r w:rsidR="00DF39F8">
        <w:t>Visa</w:t>
      </w:r>
      <w:r w:rsidR="00DF39F8" w:rsidRPr="00DF39F8">
        <w:t xml:space="preserve"> </w:t>
      </w:r>
      <w:r w:rsidR="00DF39F8">
        <w:t>s</w:t>
      </w:r>
      <w:r w:rsidR="00DF39F8" w:rsidRPr="00DF39F8">
        <w:t>upport through a migration agen</w:t>
      </w:r>
      <w:r w:rsidR="00DF39F8">
        <w:t>t…</w:t>
      </w:r>
      <w:r w:rsidR="00DF39F8" w:rsidRPr="00DF39F8">
        <w:t xml:space="preserve">as many women are on temporary </w:t>
      </w:r>
      <w:r w:rsidR="00DF39F8">
        <w:t>visa</w:t>
      </w:r>
      <w:r w:rsidR="00DF39F8" w:rsidRPr="00DF39F8">
        <w:t>s and are unsure of how it impacts their status</w:t>
      </w:r>
      <w:r w:rsidR="00AF7EEB">
        <w:t>.’</w:t>
      </w:r>
      <w:r w:rsidR="00DF39F8">
        <w:t xml:space="preserve"> (Stakeholder, CALD, Regional/Remote) </w:t>
      </w:r>
    </w:p>
    <w:p w14:paraId="007099D2" w14:textId="77777777" w:rsidR="00DF39F8" w:rsidRDefault="00DF39F8" w:rsidP="00DF39F8"/>
    <w:p w14:paraId="7AC9AD94" w14:textId="0E263ADE" w:rsidR="009A2E97" w:rsidRDefault="009A2E97" w:rsidP="009A2E97">
      <w:r w:rsidRPr="00525E28">
        <w:t xml:space="preserve">An important consideration raised by </w:t>
      </w:r>
      <w:r w:rsidR="00525E28" w:rsidRPr="00525E28">
        <w:t>those</w:t>
      </w:r>
      <w:r w:rsidRPr="00525E28">
        <w:t xml:space="preserve"> with expertise working with CALD women and children </w:t>
      </w:r>
      <w:r w:rsidR="00525E28">
        <w:t>is</w:t>
      </w:r>
      <w:r>
        <w:t xml:space="preserve"> the need for interpreters to be appropriate for the situation. For women who have experienced </w:t>
      </w:r>
      <w:r w:rsidRPr="00525E28">
        <w:t xml:space="preserve">domestic violence, for example, it is important all services, including interpreters, are </w:t>
      </w:r>
      <w:r w:rsidR="00525E28">
        <w:t xml:space="preserve">provided by </w:t>
      </w:r>
      <w:r w:rsidRPr="00525E28">
        <w:t>women.</w:t>
      </w:r>
      <w:r>
        <w:t xml:space="preserve"> </w:t>
      </w:r>
    </w:p>
    <w:p w14:paraId="261511FC" w14:textId="6A196BE5" w:rsidR="009A2E97" w:rsidRDefault="00005FD6" w:rsidP="009A2E97">
      <w:pPr>
        <w:pStyle w:val="QuoteSmall"/>
      </w:pPr>
      <w:r>
        <w:t>‘</w:t>
      </w:r>
      <w:r w:rsidR="009A2E97">
        <w:t>W</w:t>
      </w:r>
      <w:r w:rsidR="009A2E97" w:rsidRPr="009A2E97">
        <w:t>omen</w:t>
      </w:r>
      <w:r w:rsidR="009A2E97">
        <w:t>-</w:t>
      </w:r>
      <w:r w:rsidR="009A2E97" w:rsidRPr="009A2E97">
        <w:t>only services and supports</w:t>
      </w:r>
      <w:r w:rsidR="009A2E97">
        <w:t xml:space="preserve"> [</w:t>
      </w:r>
      <w:r w:rsidR="005D2DAC">
        <w:t xml:space="preserve">are </w:t>
      </w:r>
      <w:r w:rsidR="009A2E97">
        <w:t>critical]</w:t>
      </w:r>
      <w:r w:rsidR="00CE727B">
        <w:rPr>
          <w:lang w:eastAsia="en-AU"/>
        </w:rPr>
        <w:t xml:space="preserve"> … </w:t>
      </w:r>
      <w:r w:rsidR="00C02E70">
        <w:t>F</w:t>
      </w:r>
      <w:r w:rsidR="009A2E97" w:rsidRPr="009A2E97">
        <w:t xml:space="preserve">or a woman that has been subjected to DV and/or sexual violence </w:t>
      </w:r>
      <w:r w:rsidR="00C02E70" w:rsidRPr="00403E70">
        <w:rPr>
          <w:rFonts w:ascii="Calibri" w:hAnsi="Calibri"/>
        </w:rPr>
        <w:t>–</w:t>
      </w:r>
      <w:r w:rsidR="009A2E97" w:rsidRPr="00403E70">
        <w:t xml:space="preserve"> a</w:t>
      </w:r>
      <w:r w:rsidR="009A2E97" w:rsidRPr="009A2E97">
        <w:t xml:space="preserve"> female interpreter is paramount</w:t>
      </w:r>
      <w:r w:rsidR="00AF7EEB">
        <w:t>.’</w:t>
      </w:r>
      <w:r w:rsidR="009A2E97">
        <w:t xml:space="preserve"> (Stakeholder, CALD, Urban) </w:t>
      </w:r>
    </w:p>
    <w:p w14:paraId="115FC24C" w14:textId="77777777" w:rsidR="009A2E97" w:rsidRDefault="009A2E97" w:rsidP="009A2E97">
      <w:pPr>
        <w:pStyle w:val="QuoteSmall"/>
      </w:pPr>
    </w:p>
    <w:p w14:paraId="21AD979B" w14:textId="73B92B54" w:rsidR="009A2E97" w:rsidRDefault="00005FD6" w:rsidP="009A2E97">
      <w:pPr>
        <w:pStyle w:val="QuoteSmall"/>
      </w:pPr>
      <w:r>
        <w:t>‘</w:t>
      </w:r>
      <w:r w:rsidR="009A2E97" w:rsidRPr="009A2E97">
        <w:t>All the clients just disengage with the mainstream services. So</w:t>
      </w:r>
      <w:r w:rsidR="009A2E97">
        <w:t xml:space="preserve"> [it’s important] </w:t>
      </w:r>
      <w:r w:rsidR="009A2E97" w:rsidRPr="009A2E97">
        <w:t>for the shelter to includ</w:t>
      </w:r>
      <w:r w:rsidR="009A2E97">
        <w:t>e</w:t>
      </w:r>
      <w:r w:rsidR="009A2E97" w:rsidRPr="009A2E97">
        <w:t xml:space="preserve"> this kind of service</w:t>
      </w:r>
      <w:r w:rsidR="009A2E97">
        <w:t>,</w:t>
      </w:r>
      <w:r w:rsidR="009A2E97" w:rsidRPr="009A2E97">
        <w:t xml:space="preserve"> as well to help to find some trusted interpreters and secure them for those women, and make them feel safe, and to live in there as well because the CALD community is quite small</w:t>
      </w:r>
      <w:r w:rsidR="00AF7EEB">
        <w:t>.’</w:t>
      </w:r>
      <w:r w:rsidR="00F067F0">
        <w:t xml:space="preserve"> (Stakeholder, Disability, Urban) </w:t>
      </w:r>
    </w:p>
    <w:p w14:paraId="1B9DDF6A" w14:textId="77777777" w:rsidR="0082225F" w:rsidRDefault="0082225F" w:rsidP="006B5250"/>
    <w:p w14:paraId="1290B1A3" w14:textId="4709D4E7" w:rsidR="006B5250" w:rsidRDefault="008D590F" w:rsidP="006B5250">
      <w:r>
        <w:t xml:space="preserve">Other services </w:t>
      </w:r>
      <w:r w:rsidR="00525E28">
        <w:t xml:space="preserve">considered </w:t>
      </w:r>
      <w:r>
        <w:t xml:space="preserve">important for CALD women and children include: </w:t>
      </w:r>
    </w:p>
    <w:p w14:paraId="53FB82AB" w14:textId="1C886C3F" w:rsidR="008D590F" w:rsidRDefault="000A16FE" w:rsidP="008D590F">
      <w:pPr>
        <w:pStyle w:val="Bulletlist"/>
      </w:pPr>
      <w:r>
        <w:t xml:space="preserve">spiritual </w:t>
      </w:r>
      <w:r w:rsidR="008D590F">
        <w:t>or religious support</w:t>
      </w:r>
    </w:p>
    <w:p w14:paraId="72D0CCC2" w14:textId="6FDAAFFF" w:rsidR="008D590F" w:rsidRDefault="000A16FE" w:rsidP="008D590F">
      <w:pPr>
        <w:pStyle w:val="Bulletlist"/>
      </w:pPr>
      <w:r>
        <w:t xml:space="preserve">culturally </w:t>
      </w:r>
      <w:r w:rsidR="007904BF">
        <w:t>safe</w:t>
      </w:r>
      <w:r w:rsidR="008D590F">
        <w:t xml:space="preserve"> </w:t>
      </w:r>
      <w:r w:rsidR="005D2DAC">
        <w:t xml:space="preserve">and culturally competent </w:t>
      </w:r>
      <w:r w:rsidR="00A34CF5">
        <w:t>delivery within services</w:t>
      </w:r>
      <w:r w:rsidR="008D590F">
        <w:t xml:space="preserve"> such as: </w:t>
      </w:r>
    </w:p>
    <w:p w14:paraId="4F4C2B3B" w14:textId="6ABE10CA" w:rsidR="008D590F" w:rsidRPr="00C86074" w:rsidRDefault="000A16FE" w:rsidP="00E538BB">
      <w:pPr>
        <w:pStyle w:val="2ndlevelbullet"/>
      </w:pPr>
      <w:r w:rsidRPr="00E538BB">
        <w:t>housing</w:t>
      </w:r>
    </w:p>
    <w:p w14:paraId="382360E8" w14:textId="29A9F8A8" w:rsidR="008D590F" w:rsidRPr="00C86074" w:rsidRDefault="000A16FE" w:rsidP="00E538BB">
      <w:pPr>
        <w:pStyle w:val="2ndlevelbullet"/>
      </w:pPr>
      <w:r w:rsidRPr="00C86074">
        <w:lastRenderedPageBreak/>
        <w:t>legal services</w:t>
      </w:r>
    </w:p>
    <w:p w14:paraId="40498264" w14:textId="0C8407E3" w:rsidR="008D590F" w:rsidRPr="00C86074" w:rsidRDefault="000A16FE" w:rsidP="00E538BB">
      <w:pPr>
        <w:pStyle w:val="2ndlevelbullet"/>
      </w:pPr>
      <w:r w:rsidRPr="00C86074">
        <w:t>police.</w:t>
      </w:r>
      <w:r w:rsidR="008D590F" w:rsidRPr="00C86074">
        <w:t xml:space="preserve"> </w:t>
      </w:r>
    </w:p>
    <w:p w14:paraId="5F1C158F" w14:textId="66A2DC89" w:rsidR="008D590F" w:rsidRDefault="00005FD6" w:rsidP="008D590F">
      <w:pPr>
        <w:pStyle w:val="QuoteSmall"/>
      </w:pPr>
      <w:r>
        <w:t>‘</w:t>
      </w:r>
      <w:r w:rsidR="008D590F">
        <w:t>[They need] f</w:t>
      </w:r>
      <w:r w:rsidR="008D590F" w:rsidRPr="008D590F">
        <w:t>acilities and resources that are culturally appropriate and safe</w:t>
      </w:r>
      <w:r w:rsidR="008D590F">
        <w:t>,</w:t>
      </w:r>
      <w:r w:rsidR="008D590F" w:rsidRPr="008D590F">
        <w:t xml:space="preserve"> acknowledging the need for staff with diversity training</w:t>
      </w:r>
      <w:r w:rsidR="008D590F">
        <w:t xml:space="preserve"> and </w:t>
      </w:r>
      <w:r w:rsidR="008D590F" w:rsidRPr="008D590F">
        <w:t>workers with cultural competence</w:t>
      </w:r>
      <w:r w:rsidR="00AF7EEB">
        <w:t>.’</w:t>
      </w:r>
      <w:r w:rsidR="008D590F">
        <w:t xml:space="preserve"> (Stakeholder, CALD, Regional/Remote)</w:t>
      </w:r>
    </w:p>
    <w:p w14:paraId="537409FB" w14:textId="77777777" w:rsidR="008D590F" w:rsidRDefault="008D590F" w:rsidP="008D590F">
      <w:pPr>
        <w:pStyle w:val="Bulletlist"/>
        <w:numPr>
          <w:ilvl w:val="0"/>
          <w:numId w:val="0"/>
        </w:numPr>
        <w:ind w:left="340" w:hanging="340"/>
      </w:pPr>
    </w:p>
    <w:p w14:paraId="25AFC5C4" w14:textId="15ECF73F" w:rsidR="00FD0630" w:rsidRDefault="00FD0630" w:rsidP="00FD0630">
      <w:r w:rsidRPr="00CE38C2">
        <w:rPr>
          <w:b/>
          <w:bCs/>
        </w:rPr>
        <w:t>While</w:t>
      </w:r>
      <w:r>
        <w:t xml:space="preserve"> </w:t>
      </w:r>
      <w:r w:rsidRPr="00CE38C2">
        <w:rPr>
          <w:b/>
          <w:bCs/>
        </w:rPr>
        <w:t xml:space="preserve">language support was frequently </w:t>
      </w:r>
      <w:r w:rsidR="0087301A">
        <w:rPr>
          <w:b/>
          <w:bCs/>
        </w:rPr>
        <w:t xml:space="preserve">raised </w:t>
      </w:r>
      <w:r w:rsidRPr="00CE38C2">
        <w:rPr>
          <w:b/>
          <w:bCs/>
        </w:rPr>
        <w:t xml:space="preserve">as </w:t>
      </w:r>
      <w:r w:rsidR="00256045" w:rsidRPr="00CE38C2">
        <w:rPr>
          <w:b/>
          <w:bCs/>
        </w:rPr>
        <w:t xml:space="preserve">a requirement for </w:t>
      </w:r>
      <w:r w:rsidRPr="00CE38C2">
        <w:rPr>
          <w:b/>
          <w:bCs/>
        </w:rPr>
        <w:t>women and children with CALD background</w:t>
      </w:r>
      <w:r w:rsidR="009E3E9F">
        <w:rPr>
          <w:b/>
          <w:bCs/>
        </w:rPr>
        <w:t>s</w:t>
      </w:r>
      <w:r w:rsidRPr="00CE38C2">
        <w:rPr>
          <w:b/>
          <w:bCs/>
        </w:rPr>
        <w:t xml:space="preserve">, one group </w:t>
      </w:r>
      <w:r w:rsidR="00256045" w:rsidRPr="00CE38C2">
        <w:rPr>
          <w:b/>
          <w:bCs/>
        </w:rPr>
        <w:t xml:space="preserve">indicated </w:t>
      </w:r>
      <w:r w:rsidRPr="00CE38C2">
        <w:rPr>
          <w:b/>
          <w:bCs/>
        </w:rPr>
        <w:t>First Nations women and children</w:t>
      </w:r>
      <w:r w:rsidR="00256045" w:rsidRPr="00CE38C2">
        <w:rPr>
          <w:b/>
          <w:bCs/>
        </w:rPr>
        <w:t xml:space="preserve"> also often need it</w:t>
      </w:r>
      <w:r>
        <w:t xml:space="preserve">, </w:t>
      </w:r>
      <w:r w:rsidRPr="0087301A">
        <w:t>particularly in regional and remote areas where English is the</w:t>
      </w:r>
      <w:r>
        <w:t xml:space="preserve"> second or third language for some</w:t>
      </w:r>
      <w:r w:rsidRPr="0087301A">
        <w:t xml:space="preserve">. </w:t>
      </w:r>
      <w:r w:rsidR="0087301A">
        <w:t>One participant</w:t>
      </w:r>
      <w:r w:rsidRPr="0087301A">
        <w:t xml:space="preserve"> </w:t>
      </w:r>
      <w:r>
        <w:t xml:space="preserve">suggested it is critical for First Nations women and children in emergency accommodation to have access to Elder support. </w:t>
      </w:r>
    </w:p>
    <w:p w14:paraId="6342B30A" w14:textId="64B26047" w:rsidR="00FD0630" w:rsidRPr="00FD0630" w:rsidRDefault="00005FD6" w:rsidP="00FD0630">
      <w:pPr>
        <w:pStyle w:val="QuoteSmall"/>
        <w:rPr>
          <w:lang w:eastAsia="en-AU"/>
        </w:rPr>
      </w:pPr>
      <w:r>
        <w:rPr>
          <w:lang w:eastAsia="en-AU"/>
        </w:rPr>
        <w:t>‘</w:t>
      </w:r>
      <w:r w:rsidR="00FD0630" w:rsidRPr="00FD0630">
        <w:rPr>
          <w:lang w:eastAsia="en-AU"/>
        </w:rPr>
        <w:t xml:space="preserve">Elder support in the community is also critical. They would want to talk about their experience and get support from </w:t>
      </w:r>
      <w:r w:rsidR="00C826F9">
        <w:rPr>
          <w:lang w:eastAsia="en-AU"/>
        </w:rPr>
        <w:t>E</w:t>
      </w:r>
      <w:r w:rsidR="00FD0630" w:rsidRPr="00FD0630">
        <w:rPr>
          <w:lang w:eastAsia="en-AU"/>
        </w:rPr>
        <w:t>lders</w:t>
      </w:r>
      <w:r w:rsidR="00AF7EEB">
        <w:rPr>
          <w:lang w:eastAsia="en-AU"/>
        </w:rPr>
        <w:t>.’</w:t>
      </w:r>
      <w:r w:rsidR="00FD0630">
        <w:rPr>
          <w:lang w:eastAsia="en-AU"/>
        </w:rPr>
        <w:t xml:space="preserve"> (Stakeholder, First Nations, Regional/Remote) </w:t>
      </w:r>
    </w:p>
    <w:p w14:paraId="10DB6160" w14:textId="77777777" w:rsidR="000C371B" w:rsidRDefault="000C371B" w:rsidP="008D590F">
      <w:pPr>
        <w:pStyle w:val="Bulletlist"/>
        <w:numPr>
          <w:ilvl w:val="0"/>
          <w:numId w:val="0"/>
        </w:numPr>
        <w:ind w:left="340" w:hanging="340"/>
      </w:pPr>
    </w:p>
    <w:p w14:paraId="4B335214" w14:textId="236B66A1" w:rsidR="00CE38C2" w:rsidRDefault="00CE38C2" w:rsidP="00CE38C2">
      <w:r>
        <w:t xml:space="preserve">Participants raised the need for a greater supply of transitional housing. While the construction of transitional housing is not in </w:t>
      </w:r>
      <w:r w:rsidR="0087301A">
        <w:t xml:space="preserve">the </w:t>
      </w:r>
      <w:r>
        <w:t xml:space="preserve">scope for the Safe Places Inclusion Round, stakeholders suggested the </w:t>
      </w:r>
      <w:r w:rsidRPr="00CE38C2">
        <w:rPr>
          <w:b/>
          <w:bCs/>
        </w:rPr>
        <w:t xml:space="preserve">lack of transitional housing may put extra pressure </w:t>
      </w:r>
      <w:r w:rsidR="00910136">
        <w:rPr>
          <w:b/>
          <w:bCs/>
        </w:rPr>
        <w:t xml:space="preserve">on </w:t>
      </w:r>
      <w:r w:rsidRPr="00CE38C2">
        <w:rPr>
          <w:b/>
          <w:bCs/>
        </w:rPr>
        <w:t>emergency accommodation</w:t>
      </w:r>
      <w:r w:rsidR="0087301A">
        <w:t xml:space="preserve"> if w</w:t>
      </w:r>
      <w:r>
        <w:t xml:space="preserve">omen and children </w:t>
      </w:r>
      <w:r w:rsidR="00403E70">
        <w:t>must</w:t>
      </w:r>
      <w:r>
        <w:t xml:space="preserve"> </w:t>
      </w:r>
      <w:r w:rsidR="005862D6">
        <w:t>remain there</w:t>
      </w:r>
      <w:r>
        <w:t xml:space="preserve"> du</w:t>
      </w:r>
      <w:r w:rsidRPr="0087301A">
        <w:t>e to a lack of o</w:t>
      </w:r>
      <w:r w:rsidRPr="00403E70">
        <w:t>ptions</w:t>
      </w:r>
      <w:r w:rsidR="00403E70">
        <w:t xml:space="preserve"> </w:t>
      </w:r>
      <w:r w:rsidRPr="00403E70">
        <w:t>beyond that.</w:t>
      </w:r>
      <w:r>
        <w:t xml:space="preserve"> </w:t>
      </w:r>
    </w:p>
    <w:p w14:paraId="0AE09792" w14:textId="6A4CE99B" w:rsidR="00CE38C2" w:rsidRDefault="00005FD6" w:rsidP="00CE38C2">
      <w:pPr>
        <w:pStyle w:val="QuoteSmall"/>
      </w:pPr>
      <w:r>
        <w:t>‘</w:t>
      </w:r>
      <w:r w:rsidR="00CE38C2">
        <w:t>W</w:t>
      </w:r>
      <w:r w:rsidR="00CE38C2" w:rsidRPr="00CE38C2">
        <w:t>e don’t have any transitional housing, like once</w:t>
      </w:r>
      <w:r w:rsidR="00CE727B">
        <w:rPr>
          <w:lang w:eastAsia="en-AU"/>
        </w:rPr>
        <w:t xml:space="preserve"> … </w:t>
      </w:r>
      <w:r w:rsidR="00CE38C2" w:rsidRPr="00CE38C2">
        <w:t>a client comes in, and then they stay at the shelter, and then there’s no pathway out and where are they going to go?  Because</w:t>
      </w:r>
      <w:r w:rsidR="00CE38C2">
        <w:t>…</w:t>
      </w:r>
      <w:r w:rsidR="00CE38C2" w:rsidRPr="00CE38C2">
        <w:t>there’s no private rental or anything like that in community, so that’s where we’re at. Where we feel like we keep helping the same clients because there’s nowhere to go</w:t>
      </w:r>
      <w:r w:rsidR="00AF7EEB">
        <w:t>.’</w:t>
      </w:r>
      <w:r w:rsidR="00CE38C2">
        <w:t xml:space="preserve"> </w:t>
      </w:r>
      <w:r w:rsidR="00CE38C2">
        <w:rPr>
          <w:lang w:eastAsia="en-AU"/>
        </w:rPr>
        <w:t>(Stakeholder, First Nations, Regional/Remote)</w:t>
      </w:r>
    </w:p>
    <w:p w14:paraId="65236865" w14:textId="77777777" w:rsidR="00BC5AF1" w:rsidRDefault="00BC5AF1" w:rsidP="00BC5AF1"/>
    <w:p w14:paraId="435643E7" w14:textId="695C83A7" w:rsidR="002D7651" w:rsidRDefault="002D7651" w:rsidP="003D4F60">
      <w:pPr>
        <w:pStyle w:val="Heading2"/>
      </w:pPr>
      <w:bookmarkStart w:id="26" w:name="_Toc147910403"/>
      <w:r w:rsidRPr="00B110D1">
        <w:t>What oth</w:t>
      </w:r>
      <w:r w:rsidRPr="006C022C">
        <w:t xml:space="preserve">er </w:t>
      </w:r>
      <w:r w:rsidR="007E35F5" w:rsidRPr="006C022C">
        <w:t>services</w:t>
      </w:r>
      <w:r w:rsidRPr="006C022C">
        <w:t xml:space="preserve"> should be in proximity </w:t>
      </w:r>
      <w:r w:rsidR="006C022C">
        <w:t>to</w:t>
      </w:r>
      <w:r w:rsidRPr="006C022C">
        <w:t xml:space="preserve"> the acco</w:t>
      </w:r>
      <w:r w:rsidRPr="00B110D1">
        <w:t xml:space="preserve">mmodation to fully support victim-survivor women and children from </w:t>
      </w:r>
      <w:r w:rsidR="00D96A55">
        <w:t>First Nations</w:t>
      </w:r>
      <w:r w:rsidRPr="00B110D1">
        <w:t>, CALD and disability backgrounds as they exit domestic and family violence?</w:t>
      </w:r>
      <w:bookmarkEnd w:id="26"/>
      <w:r>
        <w:t xml:space="preserve"> </w:t>
      </w:r>
    </w:p>
    <w:p w14:paraId="5F77C5EA" w14:textId="3EB8D5D3" w:rsidR="00DE1593" w:rsidRDefault="00882B8D" w:rsidP="00882B8D">
      <w:r>
        <w:t xml:space="preserve">When detailing the services that should be accessible to women and children while they are in </w:t>
      </w:r>
      <w:r w:rsidRPr="00186C2A">
        <w:t xml:space="preserve">emergency accommodation, </w:t>
      </w:r>
      <w:r w:rsidR="009868BA" w:rsidRPr="00186C2A">
        <w:t>participants were asked which of th</w:t>
      </w:r>
      <w:r w:rsidR="00186C2A" w:rsidRPr="00186C2A">
        <w:t>e</w:t>
      </w:r>
      <w:r w:rsidR="009868BA" w:rsidRPr="00186C2A">
        <w:t>se need to be accessed in</w:t>
      </w:r>
      <w:r w:rsidR="00DE1593" w:rsidRPr="00186C2A">
        <w:noBreakHyphen/>
      </w:r>
      <w:r w:rsidR="009868BA" w:rsidRPr="00186C2A">
        <w:t>person, and</w:t>
      </w:r>
      <w:r w:rsidR="009868BA">
        <w:t xml:space="preserve"> which </w:t>
      </w:r>
      <w:r w:rsidR="00186C2A">
        <w:t>c</w:t>
      </w:r>
      <w:r w:rsidR="005D2DAC">
        <w:t>ou</w:t>
      </w:r>
      <w:r w:rsidR="005D2DAC" w:rsidRPr="00403E70">
        <w:t xml:space="preserve">ld be </w:t>
      </w:r>
      <w:r w:rsidR="009868BA" w:rsidRPr="00403E70">
        <w:t>accessed remotely.</w:t>
      </w:r>
      <w:r w:rsidR="009868BA">
        <w:t xml:space="preserve"> </w:t>
      </w:r>
    </w:p>
    <w:p w14:paraId="76D44E18" w14:textId="1DA1DFFB" w:rsidR="0088528F" w:rsidRDefault="009868BA" w:rsidP="00882B8D">
      <w:r>
        <w:t xml:space="preserve">In general, stakeholders responded that </w:t>
      </w:r>
      <w:r w:rsidRPr="009868BA">
        <w:rPr>
          <w:b/>
          <w:bCs/>
        </w:rPr>
        <w:t>all services should be accessible in-person wherever possible</w:t>
      </w:r>
      <w:r w:rsidR="003761CD">
        <w:rPr>
          <w:b/>
          <w:bCs/>
        </w:rPr>
        <w:t xml:space="preserve"> – but m</w:t>
      </w:r>
      <w:r w:rsidRPr="009868BA">
        <w:rPr>
          <w:b/>
          <w:bCs/>
        </w:rPr>
        <w:t>ost importantly, women and children should</w:t>
      </w:r>
      <w:r w:rsidR="003761CD">
        <w:rPr>
          <w:b/>
          <w:bCs/>
        </w:rPr>
        <w:t xml:space="preserve"> have </w:t>
      </w:r>
      <w:r w:rsidR="003761CD" w:rsidRPr="00BE2D4F">
        <w:rPr>
          <w:b/>
          <w:bCs/>
        </w:rPr>
        <w:t xml:space="preserve">the option of </w:t>
      </w:r>
      <w:r w:rsidR="00BE2D4F">
        <w:rPr>
          <w:b/>
          <w:bCs/>
        </w:rPr>
        <w:t xml:space="preserve">both </w:t>
      </w:r>
      <w:r w:rsidR="003761CD" w:rsidRPr="00BE2D4F">
        <w:rPr>
          <w:b/>
          <w:bCs/>
        </w:rPr>
        <w:t>in-person and r</w:t>
      </w:r>
      <w:r w:rsidR="003761CD">
        <w:rPr>
          <w:b/>
          <w:bCs/>
        </w:rPr>
        <w:t>emote access for all</w:t>
      </w:r>
      <w:r w:rsidRPr="009868BA">
        <w:rPr>
          <w:b/>
          <w:bCs/>
        </w:rPr>
        <w:t xml:space="preserve"> services. </w:t>
      </w:r>
      <w:r w:rsidR="00BE2D4F">
        <w:t>T</w:t>
      </w:r>
      <w:r w:rsidR="0088528F" w:rsidRPr="0088528F">
        <w:t>he option of face-to-face</w:t>
      </w:r>
      <w:r w:rsidR="00BE2D4F">
        <w:t xml:space="preserve"> </w:t>
      </w:r>
      <w:r w:rsidR="0088528F" w:rsidRPr="0088528F">
        <w:t>allows for more</w:t>
      </w:r>
      <w:r w:rsidR="0088528F">
        <w:t xml:space="preserve"> responsive and supportive </w:t>
      </w:r>
      <w:r w:rsidR="0088528F">
        <w:lastRenderedPageBreak/>
        <w:t>engagement with the client</w:t>
      </w:r>
      <w:r w:rsidR="00BE2D4F">
        <w:t xml:space="preserve"> in discussing a sensitive topic</w:t>
      </w:r>
      <w:r w:rsidR="0088528F">
        <w:t xml:space="preserve">. </w:t>
      </w:r>
      <w:r w:rsidR="00BE2D4F">
        <w:t>Limitations in d</w:t>
      </w:r>
      <w:r w:rsidR="0088528F">
        <w:t xml:space="preserve">igital literacy, English language proficiency </w:t>
      </w:r>
      <w:r w:rsidR="00BE2D4F">
        <w:t>or</w:t>
      </w:r>
      <w:r w:rsidR="0088528F" w:rsidRPr="00BE2D4F">
        <w:t xml:space="preserve"> </w:t>
      </w:r>
      <w:r w:rsidR="005B3F05">
        <w:t>first</w:t>
      </w:r>
      <w:r w:rsidR="0088528F" w:rsidRPr="00BE2D4F">
        <w:t xml:space="preserve"> language literacy can also hinder people’s </w:t>
      </w:r>
      <w:r w:rsidR="00BE2D4F">
        <w:t xml:space="preserve">ability to </w:t>
      </w:r>
      <w:r w:rsidR="0088528F" w:rsidRPr="00BE2D4F">
        <w:t>access online services.</w:t>
      </w:r>
      <w:r w:rsidR="0088528F">
        <w:t xml:space="preserve"> </w:t>
      </w:r>
    </w:p>
    <w:p w14:paraId="49C4DD76" w14:textId="661A5049" w:rsidR="00A4501E" w:rsidRDefault="00005FD6" w:rsidP="00A4501E">
      <w:pPr>
        <w:pStyle w:val="QuoteSmall"/>
        <w:rPr>
          <w:lang w:eastAsia="en-AU"/>
        </w:rPr>
      </w:pPr>
      <w:r>
        <w:t>‘</w:t>
      </w:r>
      <w:r w:rsidR="00A4501E">
        <w:t>B</w:t>
      </w:r>
      <w:r w:rsidR="00A4501E" w:rsidRPr="00A4501E">
        <w:t>ecause of the nature of the discussions that need to be had, most women prefer for that to be face-to-face</w:t>
      </w:r>
      <w:r w:rsidR="00CE727B">
        <w:rPr>
          <w:lang w:eastAsia="en-AU"/>
        </w:rPr>
        <w:t xml:space="preserve"> … </w:t>
      </w:r>
      <w:r w:rsidR="00A4501E" w:rsidRPr="00A4501E">
        <w:t>if a wom</w:t>
      </w:r>
      <w:r w:rsidR="00A4501E">
        <w:t>a</w:t>
      </w:r>
      <w:r w:rsidR="00A4501E" w:rsidRPr="00A4501E">
        <w:t>n breaks down, at least you can respond in a compassionate manner</w:t>
      </w:r>
      <w:r w:rsidR="00A4501E">
        <w:t xml:space="preserve">. It’s </w:t>
      </w:r>
      <w:r w:rsidR="00A4501E" w:rsidRPr="00A4501E">
        <w:t>not just what the women say, but also their body language</w:t>
      </w:r>
      <w:r w:rsidR="00AF7EEB">
        <w:t>.’</w:t>
      </w:r>
      <w:r w:rsidR="00A4501E">
        <w:t xml:space="preserve"> (</w:t>
      </w:r>
      <w:r w:rsidR="00A4501E">
        <w:rPr>
          <w:lang w:eastAsia="en-AU"/>
        </w:rPr>
        <w:t>Stakeholder, CALD, Urban)</w:t>
      </w:r>
    </w:p>
    <w:p w14:paraId="2070E3B1" w14:textId="77777777" w:rsidR="00110936" w:rsidRDefault="00110936" w:rsidP="00882B8D"/>
    <w:p w14:paraId="25DBBF64" w14:textId="522A60E0" w:rsidR="002610BC" w:rsidRPr="00AB6551" w:rsidRDefault="00CB4C77" w:rsidP="00882B8D">
      <w:pPr>
        <w:rPr>
          <w:b/>
          <w:bCs/>
        </w:rPr>
      </w:pPr>
      <w:r>
        <w:rPr>
          <w:b/>
          <w:bCs/>
        </w:rPr>
        <w:t>A couple of focus groups considered that h</w:t>
      </w:r>
      <w:r w:rsidR="00110936" w:rsidRPr="00AB6551">
        <w:rPr>
          <w:b/>
          <w:bCs/>
        </w:rPr>
        <w:t>aving a case manager or support worker who stays on</w:t>
      </w:r>
      <w:r w:rsidR="00910136">
        <w:rPr>
          <w:b/>
          <w:bCs/>
        </w:rPr>
        <w:t xml:space="preserve"> </w:t>
      </w:r>
      <w:r w:rsidR="00110936" w:rsidRPr="00AB6551">
        <w:rPr>
          <w:b/>
          <w:bCs/>
        </w:rPr>
        <w:t xml:space="preserve">site at the emergency accommodation </w:t>
      </w:r>
      <w:r>
        <w:rPr>
          <w:b/>
          <w:bCs/>
        </w:rPr>
        <w:t xml:space="preserve">is </w:t>
      </w:r>
      <w:r w:rsidR="00110936" w:rsidRPr="00AB6551">
        <w:rPr>
          <w:b/>
          <w:bCs/>
        </w:rPr>
        <w:t>important</w:t>
      </w:r>
      <w:r w:rsidR="002610BC" w:rsidRPr="00AB6551">
        <w:rPr>
          <w:b/>
          <w:bCs/>
        </w:rPr>
        <w:t xml:space="preserve">, </w:t>
      </w:r>
      <w:r>
        <w:rPr>
          <w:b/>
          <w:bCs/>
        </w:rPr>
        <w:t xml:space="preserve">as is the availability </w:t>
      </w:r>
      <w:r w:rsidR="002610BC" w:rsidRPr="00AB6551">
        <w:rPr>
          <w:b/>
          <w:bCs/>
        </w:rPr>
        <w:t xml:space="preserve">of 24-hour support. </w:t>
      </w:r>
    </w:p>
    <w:p w14:paraId="7A4A1ABE" w14:textId="7A144BD5" w:rsidR="0054580D" w:rsidRDefault="0054580D" w:rsidP="00882B8D">
      <w:r>
        <w:t>Stakeholders currently servicing regional and remote areas raised the issue of services not being based locally, and working on a fly-in</w:t>
      </w:r>
      <w:r w:rsidR="00910136">
        <w:t xml:space="preserve"> </w:t>
      </w:r>
      <w:r>
        <w:t xml:space="preserve">fly-out basis. </w:t>
      </w:r>
      <w:r w:rsidR="00CB4C77">
        <w:t>P</w:t>
      </w:r>
      <w:r w:rsidR="00D53E08">
        <w:t xml:space="preserve">articipants raised concerns that organisations and staff </w:t>
      </w:r>
      <w:r w:rsidR="00CB4C77">
        <w:t xml:space="preserve">not based locally </w:t>
      </w:r>
      <w:r w:rsidR="00D53E08">
        <w:t xml:space="preserve">were </w:t>
      </w:r>
      <w:r w:rsidR="00CB4C77">
        <w:t xml:space="preserve">unable </w:t>
      </w:r>
      <w:r w:rsidR="00D53E08">
        <w:t xml:space="preserve">to build the required relationships with their clients. </w:t>
      </w:r>
    </w:p>
    <w:p w14:paraId="07F0ECCE" w14:textId="403C9E99" w:rsidR="0054580D" w:rsidRDefault="00005FD6" w:rsidP="0054580D">
      <w:pPr>
        <w:pStyle w:val="QuoteSmall"/>
      </w:pPr>
      <w:r>
        <w:t>‘</w:t>
      </w:r>
      <w:r w:rsidR="0054580D" w:rsidRPr="0054580D">
        <w:t>If you know you’re getting a lot of people that fly in, fly out, you don’t see them no more.  Come and do all the stuff and you don’t see them no more. Help with the family, you don’t see them no more</w:t>
      </w:r>
      <w:r w:rsidR="00AF7EEB">
        <w:t>.’</w:t>
      </w:r>
      <w:r w:rsidR="0054580D">
        <w:t xml:space="preserve"> (Stakeholder, First Nations, Regional/Remote)</w:t>
      </w:r>
    </w:p>
    <w:p w14:paraId="40B93F07" w14:textId="77777777" w:rsidR="0054580D" w:rsidRDefault="0054580D" w:rsidP="00882B8D"/>
    <w:p w14:paraId="1DB3BF1F" w14:textId="0E70A099" w:rsidR="0054580D" w:rsidRDefault="00CB4C77" w:rsidP="00882B8D">
      <w:r>
        <w:t>A</w:t>
      </w:r>
      <w:r w:rsidR="0054580D">
        <w:t>n option for face-to-face delivery of physical and mental health services</w:t>
      </w:r>
      <w:r w:rsidR="002E7170">
        <w:t xml:space="preserve">, </w:t>
      </w:r>
      <w:r w:rsidR="0054580D">
        <w:t xml:space="preserve">education </w:t>
      </w:r>
      <w:r w:rsidR="002E7170">
        <w:t xml:space="preserve">and Centrelink </w:t>
      </w:r>
      <w:r w:rsidR="0054580D" w:rsidRPr="00CB4C77">
        <w:t>was</w:t>
      </w:r>
      <w:r w:rsidR="0054580D">
        <w:t xml:space="preserve"> raised by </w:t>
      </w:r>
      <w:r>
        <w:t>one</w:t>
      </w:r>
      <w:r w:rsidR="0054580D">
        <w:t xml:space="preserve"> participant, </w:t>
      </w:r>
      <w:r>
        <w:t>al</w:t>
      </w:r>
      <w:r w:rsidR="0054580D">
        <w:t>though</w:t>
      </w:r>
      <w:r w:rsidR="00C24115">
        <w:t xml:space="preserve"> they</w:t>
      </w:r>
      <w:r w:rsidR="0054580D">
        <w:t xml:space="preserve"> acknowledged some aspects of th</w:t>
      </w:r>
      <w:r>
        <w:t xml:space="preserve">ese </w:t>
      </w:r>
      <w:r w:rsidR="0054580D">
        <w:t xml:space="preserve">can have an online component. </w:t>
      </w:r>
      <w:r w:rsidR="0054580D" w:rsidRPr="00F349D1">
        <w:rPr>
          <w:b/>
          <w:bCs/>
        </w:rPr>
        <w:t>The only service participan</w:t>
      </w:r>
      <w:r w:rsidR="0054580D" w:rsidRPr="00CB4C77">
        <w:rPr>
          <w:b/>
          <w:bCs/>
        </w:rPr>
        <w:t xml:space="preserve">ts felt </w:t>
      </w:r>
      <w:r w:rsidR="002E7170" w:rsidRPr="00CB4C77">
        <w:rPr>
          <w:b/>
          <w:bCs/>
        </w:rPr>
        <w:t>s</w:t>
      </w:r>
      <w:r w:rsidR="002E7170" w:rsidRPr="00F349D1">
        <w:rPr>
          <w:b/>
          <w:bCs/>
        </w:rPr>
        <w:t xml:space="preserve">hould be mostly online </w:t>
      </w:r>
      <w:r w:rsidR="00741C48">
        <w:rPr>
          <w:b/>
          <w:bCs/>
        </w:rPr>
        <w:t>were</w:t>
      </w:r>
      <w:r w:rsidR="002E7170" w:rsidRPr="00F349D1">
        <w:rPr>
          <w:b/>
          <w:bCs/>
        </w:rPr>
        <w:t xml:space="preserve"> interpreting services, to protect the privacy of women and children</w:t>
      </w:r>
      <w:r w:rsidR="00741C48">
        <w:t>,</w:t>
      </w:r>
      <w:r w:rsidR="002E7170" w:rsidRPr="00F349D1">
        <w:rPr>
          <w:b/>
          <w:bCs/>
        </w:rPr>
        <w:t xml:space="preserve"> </w:t>
      </w:r>
      <w:r w:rsidR="002E7170">
        <w:t>particularly in small cultural communities, or regional and remote areas.</w:t>
      </w:r>
    </w:p>
    <w:p w14:paraId="13B7B7FE" w14:textId="7D094863" w:rsidR="002E7170" w:rsidRDefault="00005FD6" w:rsidP="002E7170">
      <w:pPr>
        <w:pStyle w:val="QuoteSmall"/>
      </w:pPr>
      <w:r>
        <w:t>‘</w:t>
      </w:r>
      <w:r w:rsidR="002610BC">
        <w:t xml:space="preserve">Obviously </w:t>
      </w:r>
      <w:r w:rsidR="00C02E70">
        <w:t>m</w:t>
      </w:r>
      <w:r w:rsidR="002610BC">
        <w:t>edical servic</w:t>
      </w:r>
      <w:r w:rsidR="002610BC" w:rsidRPr="00403E70">
        <w:t>es</w:t>
      </w:r>
      <w:r w:rsidR="00403E70">
        <w:t xml:space="preserve"> – </w:t>
      </w:r>
      <w:r w:rsidR="002610BC" w:rsidRPr="00403E70">
        <w:t>phy</w:t>
      </w:r>
      <w:r w:rsidR="002610BC">
        <w:t>sical and mental health welfare [should be delivered in person locally], but maybe some of that could be delivered online</w:t>
      </w:r>
      <w:r w:rsidR="00CE727B">
        <w:rPr>
          <w:lang w:eastAsia="en-AU"/>
        </w:rPr>
        <w:t xml:space="preserve"> … </w:t>
      </w:r>
      <w:r w:rsidR="002610BC">
        <w:t xml:space="preserve">and </w:t>
      </w:r>
      <w:r w:rsidR="00C02E70">
        <w:t>e</w:t>
      </w:r>
      <w:r w:rsidR="002610BC">
        <w:t>ducation and access to education, but possibly some of that could be delivered online via the TAFE and the school</w:t>
      </w:r>
      <w:r w:rsidR="00814F64">
        <w:t xml:space="preserve"> </w:t>
      </w:r>
      <w:r w:rsidR="002E7170">
        <w:t>… The c</w:t>
      </w:r>
      <w:r w:rsidR="002610BC">
        <w:t>lient definitely needs access to Centrelink, but that could be online again</w:t>
      </w:r>
      <w:r w:rsidR="00AF7EEB">
        <w:t>.’</w:t>
      </w:r>
      <w:r w:rsidR="002E7170">
        <w:t xml:space="preserve"> (Stakeholder, CALD, Regional/Remote)</w:t>
      </w:r>
    </w:p>
    <w:p w14:paraId="0A1A59CD" w14:textId="77777777" w:rsidR="002E7170" w:rsidRDefault="002E7170" w:rsidP="002E7170">
      <w:pPr>
        <w:pStyle w:val="QuoteSmall"/>
      </w:pPr>
    </w:p>
    <w:p w14:paraId="2FF3CEBD" w14:textId="682B0AC1" w:rsidR="008812D7" w:rsidRDefault="00005FD6" w:rsidP="008812D7">
      <w:pPr>
        <w:pStyle w:val="QuoteSmall"/>
      </w:pPr>
      <w:r>
        <w:rPr>
          <w:lang w:eastAsia="en-AU"/>
        </w:rPr>
        <w:t>‘</w:t>
      </w:r>
      <w:r w:rsidR="000F6C18">
        <w:rPr>
          <w:lang w:eastAsia="en-AU"/>
        </w:rPr>
        <w:t>T</w:t>
      </w:r>
      <w:r w:rsidR="000F6C18" w:rsidRPr="000F6C18">
        <w:rPr>
          <w:lang w:eastAsia="en-AU"/>
        </w:rPr>
        <w:t xml:space="preserve">he only service </w:t>
      </w:r>
      <w:r w:rsidR="000F6C18">
        <w:rPr>
          <w:lang w:eastAsia="en-AU"/>
        </w:rPr>
        <w:t xml:space="preserve">I </w:t>
      </w:r>
      <w:r w:rsidR="000F6C18" w:rsidRPr="000F6C18">
        <w:rPr>
          <w:lang w:eastAsia="en-AU"/>
        </w:rPr>
        <w:t>would recommend online would be interpreting services</w:t>
      </w:r>
      <w:r w:rsidR="000F6C18">
        <w:rPr>
          <w:lang w:eastAsia="en-AU"/>
        </w:rPr>
        <w:t xml:space="preserve"> [where women can use] </w:t>
      </w:r>
      <w:r w:rsidR="000F6C18" w:rsidRPr="000F6C18">
        <w:rPr>
          <w:lang w:eastAsia="en-AU"/>
        </w:rPr>
        <w:t>pseudo</w:t>
      </w:r>
      <w:r w:rsidR="000F6C18">
        <w:rPr>
          <w:lang w:eastAsia="en-AU"/>
        </w:rPr>
        <w:t>nyms</w:t>
      </w:r>
      <w:r w:rsidR="000F6C18" w:rsidRPr="000F6C18">
        <w:rPr>
          <w:lang w:eastAsia="en-AU"/>
        </w:rPr>
        <w:t xml:space="preserve"> to protect their </w:t>
      </w:r>
      <w:r w:rsidR="000F6C18">
        <w:rPr>
          <w:lang w:eastAsia="en-AU"/>
        </w:rPr>
        <w:t xml:space="preserve">identity, or </w:t>
      </w:r>
      <w:r w:rsidR="000F6C18" w:rsidRPr="000F6C18">
        <w:rPr>
          <w:lang w:eastAsia="en-AU"/>
        </w:rPr>
        <w:t>use interstate interpreters to [further] protect her</w:t>
      </w:r>
      <w:r w:rsidR="00AF7EEB">
        <w:rPr>
          <w:lang w:eastAsia="en-AU"/>
        </w:rPr>
        <w:t>.’</w:t>
      </w:r>
      <w:r w:rsidR="000F6C18">
        <w:rPr>
          <w:lang w:eastAsia="en-AU"/>
        </w:rPr>
        <w:t xml:space="preserve"> (Stakeholder, CALD, Urban) </w:t>
      </w:r>
    </w:p>
    <w:p w14:paraId="374EE427" w14:textId="77777777" w:rsidR="008812D7" w:rsidRDefault="008812D7" w:rsidP="008812D7"/>
    <w:p w14:paraId="68938E8C" w14:textId="564873A4" w:rsidR="002D7651" w:rsidRDefault="002D7651" w:rsidP="002D7651">
      <w:pPr>
        <w:pStyle w:val="Heading2"/>
      </w:pPr>
      <w:bookmarkStart w:id="27" w:name="_Toc147910404"/>
      <w:r>
        <w:lastRenderedPageBreak/>
        <w:t xml:space="preserve">What should the grant application process require applicants demonstrate to ensure they will meet the needs of victim-survivor women and children from </w:t>
      </w:r>
      <w:r w:rsidR="00D96A55">
        <w:t>First Nations</w:t>
      </w:r>
      <w:r>
        <w:t>, CALD and disability background</w:t>
      </w:r>
      <w:r w:rsidRPr="006C022C">
        <w:t>s for e</w:t>
      </w:r>
      <w:r>
        <w:t>mergency accommodation?</w:t>
      </w:r>
      <w:bookmarkEnd w:id="27"/>
    </w:p>
    <w:p w14:paraId="7FD07DA7" w14:textId="51BA0D57" w:rsidR="008F21DF" w:rsidRDefault="0085408A" w:rsidP="008F21DF">
      <w:r>
        <w:t xml:space="preserve">Most frequently, </w:t>
      </w:r>
      <w:r w:rsidRPr="00937BA6">
        <w:rPr>
          <w:b/>
          <w:bCs/>
        </w:rPr>
        <w:t xml:space="preserve">stakeholders </w:t>
      </w:r>
      <w:r w:rsidR="00741C48">
        <w:rPr>
          <w:b/>
          <w:bCs/>
        </w:rPr>
        <w:t>from</w:t>
      </w:r>
      <w:r w:rsidRPr="00937BA6">
        <w:rPr>
          <w:b/>
          <w:bCs/>
        </w:rPr>
        <w:t xml:space="preserve"> all </w:t>
      </w:r>
      <w:r w:rsidR="00741C48">
        <w:rPr>
          <w:b/>
          <w:bCs/>
        </w:rPr>
        <w:t>groups</w:t>
      </w:r>
      <w:r w:rsidRPr="00937BA6">
        <w:rPr>
          <w:b/>
          <w:bCs/>
        </w:rPr>
        <w:t xml:space="preserve"> cited </w:t>
      </w:r>
      <w:r w:rsidR="00212BEE" w:rsidRPr="00937BA6">
        <w:rPr>
          <w:b/>
          <w:bCs/>
        </w:rPr>
        <w:t xml:space="preserve">the importance of </w:t>
      </w:r>
      <w:r w:rsidR="008812D7">
        <w:rPr>
          <w:b/>
          <w:bCs/>
        </w:rPr>
        <w:t xml:space="preserve">grant </w:t>
      </w:r>
      <w:r w:rsidR="00212BEE" w:rsidRPr="00937BA6">
        <w:rPr>
          <w:b/>
          <w:bCs/>
        </w:rPr>
        <w:t>applicants hav</w:t>
      </w:r>
      <w:r w:rsidR="00814AD8">
        <w:rPr>
          <w:b/>
          <w:bCs/>
        </w:rPr>
        <w:t>ing</w:t>
      </w:r>
      <w:r w:rsidR="00212BEE" w:rsidRPr="00937BA6">
        <w:rPr>
          <w:b/>
          <w:bCs/>
        </w:rPr>
        <w:t xml:space="preserve"> meaningful links to other </w:t>
      </w:r>
      <w:r w:rsidR="00A3537F" w:rsidRPr="00937BA6">
        <w:rPr>
          <w:b/>
          <w:bCs/>
        </w:rPr>
        <w:t>services an</w:t>
      </w:r>
      <w:r w:rsidR="00A3537F" w:rsidRPr="00741C48">
        <w:rPr>
          <w:b/>
          <w:bCs/>
        </w:rPr>
        <w:t>d</w:t>
      </w:r>
      <w:r w:rsidR="00212BEE" w:rsidRPr="00741C48">
        <w:rPr>
          <w:b/>
          <w:bCs/>
        </w:rPr>
        <w:t xml:space="preserve"> prov</w:t>
      </w:r>
      <w:r w:rsidR="002E0E0D">
        <w:rPr>
          <w:b/>
          <w:bCs/>
        </w:rPr>
        <w:t>ing</w:t>
      </w:r>
      <w:r w:rsidR="00212BEE" w:rsidRPr="00741C48">
        <w:rPr>
          <w:b/>
          <w:bCs/>
        </w:rPr>
        <w:t xml:space="preserve"> these relationships or partnerships</w:t>
      </w:r>
      <w:r w:rsidR="00212BEE" w:rsidRPr="00741C48">
        <w:t xml:space="preserve"> </w:t>
      </w:r>
      <w:r w:rsidR="00741C48">
        <w:t>through</w:t>
      </w:r>
      <w:r w:rsidR="00212BEE" w:rsidRPr="00741C48">
        <w:t xml:space="preserve"> a</w:t>
      </w:r>
      <w:r w:rsidR="00212BEE">
        <w:t xml:space="preserve"> </w:t>
      </w:r>
      <w:r w:rsidR="00B25AB6">
        <w:t>m</w:t>
      </w:r>
      <w:r w:rsidR="00212BEE" w:rsidRPr="00B25AB6">
        <w:t>e</w:t>
      </w:r>
      <w:r w:rsidR="00212BEE">
        <w:t xml:space="preserve">morandum of </w:t>
      </w:r>
      <w:r w:rsidR="00B25AB6">
        <w:t>u</w:t>
      </w:r>
      <w:r w:rsidR="00212BEE">
        <w:t>nderstanding or other evidence.</w:t>
      </w:r>
      <w:r w:rsidR="008812D7">
        <w:t xml:space="preserve"> </w:t>
      </w:r>
    </w:p>
    <w:p w14:paraId="7C7165FA" w14:textId="0A3D59D8" w:rsidR="00212BEE" w:rsidRDefault="00005FD6" w:rsidP="00212BEE">
      <w:pPr>
        <w:pStyle w:val="QuoteSmall"/>
      </w:pPr>
      <w:r>
        <w:t>‘</w:t>
      </w:r>
      <w:r w:rsidR="00212BEE">
        <w:t>E</w:t>
      </w:r>
      <w:r w:rsidR="00212BEE" w:rsidRPr="00212BEE">
        <w:t xml:space="preserve">stablished partnerships </w:t>
      </w:r>
      <w:r w:rsidR="00212BEE">
        <w:t xml:space="preserve">[showing an] </w:t>
      </w:r>
      <w:r w:rsidR="00212BEE" w:rsidRPr="00212BEE">
        <w:t>ongoing relationship</w:t>
      </w:r>
      <w:r w:rsidR="00212BEE">
        <w:t>. R</w:t>
      </w:r>
      <w:r w:rsidR="00212BEE" w:rsidRPr="00212BEE">
        <w:t>ather than just a support letter, an MOU, that’s been in place for over 5 years</w:t>
      </w:r>
      <w:r w:rsidR="00212BEE">
        <w:t>,</w:t>
      </w:r>
      <w:r w:rsidR="00212BEE" w:rsidRPr="00212BEE">
        <w:t xml:space="preserve"> for example</w:t>
      </w:r>
      <w:r w:rsidR="00AF7EEB">
        <w:t>.’</w:t>
      </w:r>
      <w:r w:rsidR="00212BEE">
        <w:t xml:space="preserve"> (Stakeholder, CALD, Urban) </w:t>
      </w:r>
    </w:p>
    <w:p w14:paraId="256220D5" w14:textId="77777777" w:rsidR="00212BEE" w:rsidRDefault="00212BEE" w:rsidP="00212BEE">
      <w:pPr>
        <w:pStyle w:val="QuoteSmall"/>
      </w:pPr>
    </w:p>
    <w:p w14:paraId="40924C58" w14:textId="69014C0C" w:rsidR="00212BEE" w:rsidRDefault="00005FD6" w:rsidP="00212BEE">
      <w:pPr>
        <w:pStyle w:val="QuoteSmall"/>
      </w:pPr>
      <w:r>
        <w:t>‘</w:t>
      </w:r>
      <w:r w:rsidR="00212BEE" w:rsidRPr="00212BEE">
        <w:t>I think the agency needs to show that they have the personnel with the expertise to support people who experience domestic violence, and also they have to show the link</w:t>
      </w:r>
      <w:r w:rsidR="00212BEE">
        <w:t>s</w:t>
      </w:r>
      <w:r w:rsidR="00212BEE" w:rsidRPr="00212BEE">
        <w:t xml:space="preserve"> with other resources. So they have the resources to link all the relevant services like if they don't have a counsellor in the agency, they can link the client with the agency immediately if the client is at high risk</w:t>
      </w:r>
      <w:r w:rsidR="00AF7EEB">
        <w:t>.’</w:t>
      </w:r>
      <w:r w:rsidR="00212BEE">
        <w:t xml:space="preserve"> (Stakeholder, Disability, Regional/Remote)</w:t>
      </w:r>
    </w:p>
    <w:p w14:paraId="478791F4" w14:textId="77777777" w:rsidR="00212BEE" w:rsidRDefault="00212BEE" w:rsidP="008F21DF"/>
    <w:p w14:paraId="36F70A25" w14:textId="67D6431C" w:rsidR="00937BA6" w:rsidRDefault="00937BA6" w:rsidP="00D75BC0">
      <w:r>
        <w:t xml:space="preserve">Alongside positive and proven partnerships, stakeholders suggested </w:t>
      </w:r>
      <w:r w:rsidR="00FC4489">
        <w:t>DSS</w:t>
      </w:r>
      <w:r>
        <w:t xml:space="preserve"> should prioritise </w:t>
      </w:r>
      <w:r w:rsidR="00D4168E">
        <w:t>applicants</w:t>
      </w:r>
      <w:r>
        <w:t xml:space="preserve"> who </w:t>
      </w:r>
      <w:r w:rsidR="00D4168E" w:rsidRPr="00D4168E">
        <w:rPr>
          <w:b/>
          <w:bCs/>
        </w:rPr>
        <w:t xml:space="preserve">show they have connections with </w:t>
      </w:r>
      <w:r w:rsidR="002E0E0D">
        <w:rPr>
          <w:b/>
          <w:bCs/>
        </w:rPr>
        <w:t xml:space="preserve">and plan to consult with </w:t>
      </w:r>
      <w:r w:rsidR="00D4168E" w:rsidRPr="00D4168E">
        <w:rPr>
          <w:b/>
          <w:bCs/>
        </w:rPr>
        <w:t xml:space="preserve">the community they service, </w:t>
      </w:r>
      <w:r w:rsidR="002E0E0D">
        <w:rPr>
          <w:b/>
          <w:bCs/>
        </w:rPr>
        <w:t xml:space="preserve">who </w:t>
      </w:r>
      <w:r w:rsidR="00D75239" w:rsidRPr="006445EC">
        <w:rPr>
          <w:b/>
          <w:bCs/>
        </w:rPr>
        <w:t xml:space="preserve">incorporate lived experience in </w:t>
      </w:r>
      <w:r w:rsidR="00624F36" w:rsidRPr="006445EC">
        <w:rPr>
          <w:b/>
          <w:bCs/>
        </w:rPr>
        <w:t>all stages</w:t>
      </w:r>
      <w:r w:rsidR="00D75239" w:rsidRPr="006445EC">
        <w:rPr>
          <w:b/>
          <w:bCs/>
        </w:rPr>
        <w:t>,</w:t>
      </w:r>
      <w:r w:rsidR="007F5978" w:rsidRPr="006445EC">
        <w:rPr>
          <w:b/>
          <w:bCs/>
        </w:rPr>
        <w:t xml:space="preserve"> and are involved in stakeholder activities and forums</w:t>
      </w:r>
      <w:r w:rsidR="007F5978">
        <w:t xml:space="preserve">. </w:t>
      </w:r>
      <w:r w:rsidR="001A0749">
        <w:t xml:space="preserve">It </w:t>
      </w:r>
      <w:r w:rsidR="001A0749" w:rsidRPr="002E0E0D">
        <w:t>is</w:t>
      </w:r>
      <w:r w:rsidR="001A0749">
        <w:t xml:space="preserve"> particularly important to demonstrate inclusion </w:t>
      </w:r>
      <w:r w:rsidR="001A0749" w:rsidRPr="002E0E0D">
        <w:t>of lived ex</w:t>
      </w:r>
      <w:r w:rsidR="001A0749">
        <w:t xml:space="preserve">perience and community </w:t>
      </w:r>
      <w:r w:rsidR="002073DA">
        <w:t>connections</w:t>
      </w:r>
      <w:r w:rsidR="001A0749">
        <w:t xml:space="preserve"> with women and children who identify as being from First Nations or CALD backgrounds, or women and children with disability</w:t>
      </w:r>
      <w:r w:rsidR="00113041">
        <w:t xml:space="preserve">, to ensure their needs are listened </w:t>
      </w:r>
      <w:r w:rsidR="00113041" w:rsidRPr="001712E1">
        <w:t>to, and incorporate</w:t>
      </w:r>
      <w:r w:rsidR="001712E1">
        <w:t>d</w:t>
      </w:r>
      <w:r w:rsidR="00113041" w:rsidRPr="001712E1">
        <w:t xml:space="preserve"> i</w:t>
      </w:r>
      <w:r w:rsidR="00113041">
        <w:t>n all aspects of the program</w:t>
      </w:r>
      <w:r w:rsidR="001A0749">
        <w:t xml:space="preserve">. </w:t>
      </w:r>
      <w:r w:rsidR="002073DA">
        <w:t>For</w:t>
      </w:r>
      <w:r w:rsidR="00641BE3">
        <w:t xml:space="preserve"> applicants predominantly servicing</w:t>
      </w:r>
      <w:r w:rsidR="002073DA">
        <w:t xml:space="preserve"> First Nations </w:t>
      </w:r>
      <w:r w:rsidR="00641BE3">
        <w:t>women and children, connections and agreements with local Elders group</w:t>
      </w:r>
      <w:r w:rsidR="00641BE3" w:rsidRPr="001712E1">
        <w:t>s are a</w:t>
      </w:r>
      <w:r w:rsidR="00641BE3">
        <w:t>lso recommended.</w:t>
      </w:r>
    </w:p>
    <w:p w14:paraId="3E4CF260" w14:textId="39AF533B" w:rsidR="00624F36" w:rsidRDefault="00005FD6" w:rsidP="00624F36">
      <w:pPr>
        <w:pStyle w:val="QuoteSmall"/>
      </w:pPr>
      <w:r>
        <w:t>‘</w:t>
      </w:r>
      <w:r w:rsidR="00624F36">
        <w:t>I</w:t>
      </w:r>
      <w:r w:rsidR="00624F36" w:rsidRPr="00624F36">
        <w:t>t would be useful to have a mechanism whereb</w:t>
      </w:r>
      <w:r w:rsidR="001A0749">
        <w:t>y CALD</w:t>
      </w:r>
      <w:r w:rsidR="00624F36">
        <w:t xml:space="preserve"> </w:t>
      </w:r>
      <w:r w:rsidR="00624F36" w:rsidRPr="00624F36">
        <w:t>women with lived experience [can give] input into program development, implementation and evaluation</w:t>
      </w:r>
      <w:r w:rsidR="00AF7EEB">
        <w:t>.’</w:t>
      </w:r>
      <w:r w:rsidR="00624F36">
        <w:t xml:space="preserve"> (Stakeholder, CALD, Urban) </w:t>
      </w:r>
    </w:p>
    <w:p w14:paraId="28FB2AE9" w14:textId="77777777" w:rsidR="002073DA" w:rsidRDefault="002073DA" w:rsidP="00624F36">
      <w:pPr>
        <w:pStyle w:val="QuoteSmall"/>
      </w:pPr>
    </w:p>
    <w:p w14:paraId="46AA04E9" w14:textId="51C64BC2" w:rsidR="002073DA" w:rsidRDefault="00005FD6" w:rsidP="00624F36">
      <w:pPr>
        <w:pStyle w:val="QuoteSmall"/>
      </w:pPr>
      <w:r>
        <w:t>‘</w:t>
      </w:r>
      <w:r w:rsidR="002073DA">
        <w:t>[They should have a] c</w:t>
      </w:r>
      <w:r w:rsidR="002073DA" w:rsidRPr="002073DA">
        <w:t xml:space="preserve">onnection with </w:t>
      </w:r>
      <w:r w:rsidR="002073DA">
        <w:t>E</w:t>
      </w:r>
      <w:r w:rsidR="002073DA" w:rsidRPr="002073DA">
        <w:t>lders groups. They can’t just say they have a connection. There should be agreements in place with services on how they can work with each other</w:t>
      </w:r>
      <w:r w:rsidR="00AF7EEB">
        <w:t>.’</w:t>
      </w:r>
      <w:r w:rsidR="002073DA">
        <w:t xml:space="preserve"> (Stakeholder, First Nations, Regional/Remote) </w:t>
      </w:r>
    </w:p>
    <w:p w14:paraId="038B3770" w14:textId="77777777" w:rsidR="00624F36" w:rsidRDefault="00624F36" w:rsidP="00D75BC0"/>
    <w:p w14:paraId="0EDA8088" w14:textId="26E704A8" w:rsidR="0063337B" w:rsidRDefault="00A3537F" w:rsidP="00D75BC0">
      <w:r>
        <w:t xml:space="preserve">Participants </w:t>
      </w:r>
      <w:r w:rsidR="001712E1">
        <w:t xml:space="preserve">considered </w:t>
      </w:r>
      <w:r>
        <w:t xml:space="preserve">evidence of </w:t>
      </w:r>
      <w:r w:rsidRPr="00CD1A96">
        <w:rPr>
          <w:b/>
          <w:bCs/>
        </w:rPr>
        <w:t xml:space="preserve">relevant </w:t>
      </w:r>
      <w:r w:rsidR="001712E1">
        <w:rPr>
          <w:b/>
          <w:bCs/>
        </w:rPr>
        <w:t xml:space="preserve">staff </w:t>
      </w:r>
      <w:r w:rsidRPr="00CD1A96">
        <w:rPr>
          <w:b/>
          <w:bCs/>
        </w:rPr>
        <w:t>training</w:t>
      </w:r>
      <w:r w:rsidR="009A7B2A">
        <w:rPr>
          <w:b/>
          <w:bCs/>
        </w:rPr>
        <w:t xml:space="preserve"> (including trauma-informed practice)</w:t>
      </w:r>
      <w:r w:rsidRPr="00CD1A96">
        <w:rPr>
          <w:b/>
          <w:bCs/>
        </w:rPr>
        <w:t xml:space="preserve"> and organisational audits</w:t>
      </w:r>
      <w:r>
        <w:t xml:space="preserve"> as importa</w:t>
      </w:r>
      <w:r w:rsidRPr="001712E1">
        <w:t>nt indicators to de</w:t>
      </w:r>
      <w:r w:rsidR="001712E1">
        <w:t>tail</w:t>
      </w:r>
      <w:r>
        <w:t xml:space="preserve"> in a grant application such as the Safe Places Inclusion Round.</w:t>
      </w:r>
      <w:r w:rsidR="009A7B2A">
        <w:t xml:space="preserve"> </w:t>
      </w:r>
      <w:r w:rsidR="00814AD8">
        <w:t xml:space="preserve">Demonstrating </w:t>
      </w:r>
      <w:r w:rsidR="001712E1">
        <w:t>an</w:t>
      </w:r>
      <w:r w:rsidR="00814AD8">
        <w:t xml:space="preserve"> organisation </w:t>
      </w:r>
      <w:r w:rsidR="001712E1">
        <w:t>under</w:t>
      </w:r>
      <w:r w:rsidR="00814AD8">
        <w:t xml:space="preserve">goes </w:t>
      </w:r>
      <w:r w:rsidR="009A7B2A">
        <w:t xml:space="preserve">NDIS auditing </w:t>
      </w:r>
      <w:r w:rsidR="002905E7">
        <w:t>is</w:t>
      </w:r>
      <w:r w:rsidR="009A7B2A">
        <w:t xml:space="preserve"> </w:t>
      </w:r>
      <w:r w:rsidR="002905E7">
        <w:t>viewed</w:t>
      </w:r>
      <w:r w:rsidR="009A7B2A">
        <w:t xml:space="preserve"> as particularly</w:t>
      </w:r>
      <w:r w:rsidR="00814AD8">
        <w:t xml:space="preserve"> important </w:t>
      </w:r>
      <w:r w:rsidR="009A7B2A">
        <w:t xml:space="preserve">in ensuring </w:t>
      </w:r>
      <w:r w:rsidR="002905E7">
        <w:t>it can meet the</w:t>
      </w:r>
      <w:r w:rsidR="009A7B2A">
        <w:t xml:space="preserve"> needs of women and children with disability.</w:t>
      </w:r>
      <w:r>
        <w:t xml:space="preserve"> </w:t>
      </w:r>
      <w:r w:rsidR="002905E7">
        <w:t xml:space="preserve">Other indicators that </w:t>
      </w:r>
      <w:r w:rsidR="002905E7">
        <w:lastRenderedPageBreak/>
        <w:t xml:space="preserve">should be assessed by DSS include </w:t>
      </w:r>
      <w:r w:rsidR="00D75BC0">
        <w:t>provid</w:t>
      </w:r>
      <w:r w:rsidR="002905E7">
        <w:t>ing</w:t>
      </w:r>
      <w:r w:rsidR="00D75BC0">
        <w:t xml:space="preserve"> a good track record of delivering services, </w:t>
      </w:r>
      <w:r w:rsidR="002905E7">
        <w:t xml:space="preserve">conducting </w:t>
      </w:r>
      <w:r w:rsidR="00D75BC0">
        <w:t xml:space="preserve">similar programs and presenting referrals from clients. </w:t>
      </w:r>
    </w:p>
    <w:p w14:paraId="6F81A7C3" w14:textId="4096DDAB" w:rsidR="00A3537F" w:rsidRDefault="00005FD6" w:rsidP="00A3537F">
      <w:pPr>
        <w:pStyle w:val="QuoteSmall"/>
      </w:pPr>
      <w:r>
        <w:t>‘</w:t>
      </w:r>
      <w:r w:rsidR="00A3537F" w:rsidRPr="00A3537F">
        <w:t>I want to know how well the service vets the staff in terms of that. In our organisation, everyone must have a current police check. Everyone must have a working with children check, working with vulnerable and disadvantaged people check and basically nobody</w:t>
      </w:r>
      <w:r w:rsidR="00A3537F">
        <w:t xml:space="preserve"> </w:t>
      </w:r>
      <w:r w:rsidR="00A3537F" w:rsidRPr="00A3537F">
        <w:t>start</w:t>
      </w:r>
      <w:r w:rsidR="00A3537F">
        <w:t>s</w:t>
      </w:r>
      <w:r w:rsidR="00A3537F" w:rsidRPr="00A3537F">
        <w:t xml:space="preserve"> employment without those</w:t>
      </w:r>
      <w:r w:rsidR="00AF7EEB">
        <w:t>.’</w:t>
      </w:r>
      <w:r w:rsidR="00A3537F">
        <w:t xml:space="preserve"> (Stakeholder, Disability, Urban) </w:t>
      </w:r>
    </w:p>
    <w:p w14:paraId="5C0DD32F" w14:textId="77777777" w:rsidR="00D75BC0" w:rsidRDefault="00D75BC0" w:rsidP="00A3537F">
      <w:pPr>
        <w:pStyle w:val="QuoteSmall"/>
      </w:pPr>
    </w:p>
    <w:p w14:paraId="196B88EB" w14:textId="28622D2E" w:rsidR="00D75BC0" w:rsidRDefault="00005FD6" w:rsidP="00A3537F">
      <w:pPr>
        <w:pStyle w:val="QuoteSmall"/>
      </w:pPr>
      <w:r>
        <w:t>‘</w:t>
      </w:r>
      <w:r w:rsidR="00D75BC0" w:rsidRPr="00D75BC0">
        <w:t>I would add the feedback from your client. If you have worked with these women and children for a long time, you would have some great feedback to provide to this fund application</w:t>
      </w:r>
      <w:r w:rsidR="00D75BC0">
        <w:t>…</w:t>
      </w:r>
      <w:r w:rsidR="00D75BC0" w:rsidRPr="00D75BC0">
        <w:t xml:space="preserve"> Why they would fund you to serve more women and children in that respect</w:t>
      </w:r>
      <w:r w:rsidR="00AF7EEB">
        <w:t>.’</w:t>
      </w:r>
      <w:r w:rsidR="00D75BC0">
        <w:t xml:space="preserve"> (Stakeholder, Disability, Regional/Remote)</w:t>
      </w:r>
    </w:p>
    <w:p w14:paraId="4D7066DA" w14:textId="77777777" w:rsidR="0063337B" w:rsidRDefault="0063337B" w:rsidP="002B5670">
      <w:pPr>
        <w:pStyle w:val="Bulletlist"/>
        <w:numPr>
          <w:ilvl w:val="0"/>
          <w:numId w:val="0"/>
        </w:numPr>
      </w:pPr>
    </w:p>
    <w:p w14:paraId="6C269DF9" w14:textId="295C8666" w:rsidR="001B53B6" w:rsidRDefault="009A7B2A" w:rsidP="002D7651">
      <w:r>
        <w:t xml:space="preserve">Stakeholders </w:t>
      </w:r>
      <w:r w:rsidR="002905E7">
        <w:t>with</w:t>
      </w:r>
      <w:r>
        <w:t xml:space="preserve"> expertise in working with women and children from First Nations and CALD backgrou</w:t>
      </w:r>
      <w:r w:rsidRPr="002905E7">
        <w:t>nds discussed indicator</w:t>
      </w:r>
      <w:r>
        <w:t xml:space="preserve">s that are particularly important for these cohorts. </w:t>
      </w:r>
      <w:r w:rsidR="002905E7">
        <w:t xml:space="preserve">Critical elements </w:t>
      </w:r>
      <w:r w:rsidR="00FF3533">
        <w:t>include applicants d</w:t>
      </w:r>
      <w:r w:rsidR="00D75239">
        <w:t xml:space="preserve">emonstrating </w:t>
      </w:r>
      <w:r w:rsidR="00D75239" w:rsidRPr="001B53B6">
        <w:rPr>
          <w:b/>
          <w:bCs/>
        </w:rPr>
        <w:t>they work in a way that is culturally safe, with</w:t>
      </w:r>
      <w:r w:rsidR="001B53B6" w:rsidRPr="001B53B6">
        <w:rPr>
          <w:b/>
          <w:bCs/>
        </w:rPr>
        <w:t xml:space="preserve"> an understanding of intersectionality, </w:t>
      </w:r>
      <w:r w:rsidR="00FF3533">
        <w:rPr>
          <w:b/>
          <w:bCs/>
        </w:rPr>
        <w:t xml:space="preserve">and follow </w:t>
      </w:r>
      <w:r w:rsidR="0044035B" w:rsidRPr="001B53B6">
        <w:rPr>
          <w:b/>
          <w:bCs/>
        </w:rPr>
        <w:t>safety and inclusion po</w:t>
      </w:r>
      <w:r w:rsidR="001B53B6" w:rsidRPr="001B53B6">
        <w:rPr>
          <w:b/>
          <w:bCs/>
        </w:rPr>
        <w:t>licies</w:t>
      </w:r>
      <w:r w:rsidR="001B53B6">
        <w:t xml:space="preserve">. </w:t>
      </w:r>
    </w:p>
    <w:p w14:paraId="20873F10" w14:textId="224371EE" w:rsidR="001B53B6" w:rsidRDefault="00005FD6" w:rsidP="001B53B6">
      <w:pPr>
        <w:pStyle w:val="QuoteSmall"/>
      </w:pPr>
      <w:r>
        <w:t>‘</w:t>
      </w:r>
      <w:r w:rsidR="001B53B6">
        <w:t>[Applicants]</w:t>
      </w:r>
      <w:r w:rsidR="001B53B6" w:rsidRPr="001B53B6">
        <w:t xml:space="preserve"> must</w:t>
      </w:r>
      <w:r w:rsidR="00814F64">
        <w:t xml:space="preserve"> </w:t>
      </w:r>
      <w:r w:rsidR="001B53B6">
        <w:t>…</w:t>
      </w:r>
      <w:r w:rsidR="00814F64">
        <w:t xml:space="preserve"> </w:t>
      </w:r>
      <w:r w:rsidR="001B53B6" w:rsidRPr="001B53B6">
        <w:t>be culturally appropriate, including to understand the importance of religious and spiritual practices, take into account the trauma-informed</w:t>
      </w:r>
      <w:r w:rsidR="001B53B6">
        <w:t xml:space="preserve">, </w:t>
      </w:r>
      <w:r w:rsidR="001B53B6" w:rsidRPr="001B53B6">
        <w:t>multicultural lens to their practices to ensure that they’re respectful and can provide services which are contextuali</w:t>
      </w:r>
      <w:r w:rsidR="00BE7D21">
        <w:t>s</w:t>
      </w:r>
      <w:r w:rsidR="001B53B6" w:rsidRPr="001B53B6">
        <w:t>ed to the region and</w:t>
      </w:r>
      <w:r w:rsidR="00586046">
        <w:t>…</w:t>
      </w:r>
      <w:r w:rsidR="001B53B6" w:rsidRPr="001B53B6">
        <w:t xml:space="preserve"> </w:t>
      </w:r>
      <w:r w:rsidR="00586046">
        <w:t>[</w:t>
      </w:r>
      <w:r w:rsidR="001B53B6" w:rsidRPr="001B53B6">
        <w:t>understand the mak</w:t>
      </w:r>
      <w:r w:rsidR="00586046">
        <w:t>e-up]</w:t>
      </w:r>
      <w:r w:rsidR="001B53B6" w:rsidRPr="001B53B6">
        <w:t xml:space="preserve"> of the region</w:t>
      </w:r>
      <w:r w:rsidR="00814F64">
        <w:t xml:space="preserve"> </w:t>
      </w:r>
      <w:r w:rsidR="001B53B6" w:rsidRPr="001B53B6">
        <w:t>…</w:t>
      </w:r>
      <w:r w:rsidR="00814F64">
        <w:t xml:space="preserve"> </w:t>
      </w:r>
      <w:r w:rsidR="001B53B6" w:rsidRPr="001B53B6">
        <w:t>to demonstrate they understand the consumers they’re supporting</w:t>
      </w:r>
      <w:r w:rsidR="00AF7EEB">
        <w:t>.’</w:t>
      </w:r>
      <w:r w:rsidR="001B53B6">
        <w:t xml:space="preserve"> (Stakeholder, CALD, Regional/Remote) </w:t>
      </w:r>
    </w:p>
    <w:p w14:paraId="7F8B07F9" w14:textId="77777777" w:rsidR="001B53B6" w:rsidRDefault="001B53B6" w:rsidP="002D7651"/>
    <w:p w14:paraId="13BDE062" w14:textId="2F776ACB" w:rsidR="001B53B6" w:rsidRPr="00E4046A" w:rsidRDefault="00FF3533" w:rsidP="002D7651">
      <w:r>
        <w:t xml:space="preserve">Participants </w:t>
      </w:r>
      <w:r w:rsidR="001B53B6">
        <w:t xml:space="preserve">deemed </w:t>
      </w:r>
      <w:r>
        <w:t xml:space="preserve">it </w:t>
      </w:r>
      <w:r w:rsidR="001B53B6">
        <w:t xml:space="preserve">essential for applicants, </w:t>
      </w:r>
      <w:r w:rsidR="00CC5C34">
        <w:t xml:space="preserve">particularly those who predominantly work with First Nations women and children, to </w:t>
      </w:r>
      <w:r w:rsidR="00CC5C34" w:rsidRPr="00CC5C34">
        <w:rPr>
          <w:b/>
          <w:bCs/>
        </w:rPr>
        <w:t xml:space="preserve">demonstrate employment of First Nations staff in their organisation, </w:t>
      </w:r>
      <w:r w:rsidR="00CC5C34" w:rsidRPr="00897086">
        <w:rPr>
          <w:b/>
          <w:bCs/>
        </w:rPr>
        <w:t>with identified positions for First Nations women</w:t>
      </w:r>
      <w:r w:rsidR="00CC5C34" w:rsidRPr="00897086">
        <w:t xml:space="preserve">. </w:t>
      </w:r>
      <w:r w:rsidR="00CC5C34" w:rsidRPr="00897086">
        <w:rPr>
          <w:b/>
          <w:bCs/>
        </w:rPr>
        <w:t>Aboriginal Community Controlled Organisations</w:t>
      </w:r>
      <w:r w:rsidR="00CC5C34" w:rsidRPr="00CC5C34">
        <w:rPr>
          <w:b/>
          <w:bCs/>
        </w:rPr>
        <w:t xml:space="preserve"> should be prioritised</w:t>
      </w:r>
      <w:r w:rsidR="00E4046A">
        <w:rPr>
          <w:b/>
          <w:bCs/>
        </w:rPr>
        <w:t xml:space="preserve">, </w:t>
      </w:r>
      <w:r w:rsidR="00E4046A">
        <w:t xml:space="preserve">along with clear strategic direction that focuses on the specific needs of First </w:t>
      </w:r>
      <w:r w:rsidR="00E4046A" w:rsidRPr="00897086">
        <w:t xml:space="preserve">Nations women and children. </w:t>
      </w:r>
      <w:r w:rsidR="00897086">
        <w:t>A</w:t>
      </w:r>
      <w:r w:rsidR="002073DA" w:rsidRPr="00897086">
        <w:t>pplicants should have a Reconciliation Action Plan</w:t>
      </w:r>
      <w:r w:rsidR="002073DA">
        <w:t xml:space="preserve"> which is demonstrated and proven. </w:t>
      </w:r>
    </w:p>
    <w:p w14:paraId="7655CC11" w14:textId="6A7B0F0F" w:rsidR="001B53B6" w:rsidRPr="002D7651" w:rsidRDefault="00005FD6" w:rsidP="00CC5C34">
      <w:pPr>
        <w:pStyle w:val="QuoteSmall"/>
      </w:pPr>
      <w:r>
        <w:t>‘</w:t>
      </w:r>
      <w:r w:rsidR="00CC5C34">
        <w:t>U</w:t>
      </w:r>
      <w:r w:rsidR="00CC5C34" w:rsidRPr="00CC5C34">
        <w:t xml:space="preserve">nder the Closing the Gap, the target is and the priority is to have Aboriginal </w:t>
      </w:r>
      <w:r w:rsidR="006649DF">
        <w:t>C</w:t>
      </w:r>
      <w:r w:rsidR="00CC5C34" w:rsidRPr="00CC5C34">
        <w:t xml:space="preserve">ommunity </w:t>
      </w:r>
      <w:r w:rsidR="006649DF">
        <w:t>C</w:t>
      </w:r>
      <w:r w:rsidR="00CC5C34" w:rsidRPr="00CC5C34">
        <w:t xml:space="preserve">ontrolled </w:t>
      </w:r>
      <w:r w:rsidR="006649DF">
        <w:t>O</w:t>
      </w:r>
      <w:r w:rsidR="00CC5C34" w:rsidRPr="00CC5C34">
        <w:t>rgani</w:t>
      </w:r>
      <w:r w:rsidR="00BE7D21">
        <w:t>s</w:t>
      </w:r>
      <w:r w:rsidR="00CC5C34" w:rsidRPr="00CC5C34">
        <w:t>ations deliver to our own people. So that should still be a priority</w:t>
      </w:r>
      <w:r w:rsidR="00AF7EEB">
        <w:t>.’</w:t>
      </w:r>
      <w:r w:rsidR="00CC5C34">
        <w:t xml:space="preserve"> (Stakeholder, First Nations, Regional/Remote) </w:t>
      </w:r>
    </w:p>
    <w:p w14:paraId="5482986B" w14:textId="77777777" w:rsidR="00CC5C34" w:rsidRDefault="00CC5C34" w:rsidP="00CC5C34"/>
    <w:p w14:paraId="311E1E9C" w14:textId="0DFD956F" w:rsidR="002D7651" w:rsidRPr="00911F15" w:rsidRDefault="002D7651" w:rsidP="002D7651">
      <w:pPr>
        <w:pStyle w:val="Heading2"/>
      </w:pPr>
      <w:bookmarkStart w:id="28" w:name="_Toc147910405"/>
      <w:r>
        <w:lastRenderedPageBreak/>
        <w:t xml:space="preserve">What should the Grant Application Review Team look out for as red flags that suggest the applicant will not do an adequate job supporting victim-survivor women and children from </w:t>
      </w:r>
      <w:r w:rsidR="00D96A55">
        <w:t>First Nations</w:t>
      </w:r>
      <w:r>
        <w:t>, CALD and disability backgrounds in emergency accommodation?</w:t>
      </w:r>
      <w:bookmarkEnd w:id="28"/>
    </w:p>
    <w:p w14:paraId="6B890310" w14:textId="263494F0" w:rsidR="0005241A" w:rsidRDefault="00194042" w:rsidP="00452BFC">
      <w:r>
        <w:t>P</w:t>
      </w:r>
      <w:r w:rsidR="008812D7">
        <w:t>articipants</w:t>
      </w:r>
      <w:r w:rsidR="0005241A">
        <w:t xml:space="preserve"> </w:t>
      </w:r>
      <w:r>
        <w:t>mentioned</w:t>
      </w:r>
      <w:r w:rsidR="0005241A">
        <w:t xml:space="preserve"> </w:t>
      </w:r>
      <w:r>
        <w:t>several</w:t>
      </w:r>
      <w:r w:rsidR="0005241A">
        <w:t xml:space="preserve"> red flags</w:t>
      </w:r>
      <w:r w:rsidR="004F0EA3">
        <w:t xml:space="preserve"> that </w:t>
      </w:r>
      <w:r>
        <w:t>could</w:t>
      </w:r>
      <w:r w:rsidR="004F0EA3">
        <w:t xml:space="preserve"> indicate grant applican</w:t>
      </w:r>
      <w:r w:rsidR="004F0EA3" w:rsidRPr="00194042">
        <w:t>ts may no</w:t>
      </w:r>
      <w:r w:rsidR="004F0EA3">
        <w:t>t adequate</w:t>
      </w:r>
      <w:r>
        <w:t>ly</w:t>
      </w:r>
      <w:r w:rsidR="004F0EA3">
        <w:t xml:space="preserve"> support women and children</w:t>
      </w:r>
      <w:r w:rsidR="0005241A">
        <w:t>, including:</w:t>
      </w:r>
    </w:p>
    <w:p w14:paraId="02476617" w14:textId="3F23902F" w:rsidR="0005241A" w:rsidRDefault="002821E9" w:rsidP="0005241A">
      <w:pPr>
        <w:pStyle w:val="Bulletlist"/>
      </w:pPr>
      <w:r>
        <w:t>n</w:t>
      </w:r>
      <w:r w:rsidR="0005241A">
        <w:t>o track record of successfully working in the FDV sector</w:t>
      </w:r>
    </w:p>
    <w:p w14:paraId="08243BC7" w14:textId="26C0663D" w:rsidR="0005241A" w:rsidRDefault="002821E9" w:rsidP="0005241A">
      <w:pPr>
        <w:pStyle w:val="Bulletlist"/>
      </w:pPr>
      <w:r>
        <w:t>poor building record</w:t>
      </w:r>
    </w:p>
    <w:p w14:paraId="7115F658" w14:textId="4381A2B2" w:rsidR="0005241A" w:rsidRDefault="002821E9" w:rsidP="0005241A">
      <w:pPr>
        <w:pStyle w:val="Bulletlist"/>
      </w:pPr>
      <w:r>
        <w:t>no meaningful links to services or partnerships</w:t>
      </w:r>
    </w:p>
    <w:p w14:paraId="72986F83" w14:textId="69F00477" w:rsidR="00452BFC" w:rsidRDefault="002821E9" w:rsidP="0005241A">
      <w:pPr>
        <w:pStyle w:val="Bulletlist"/>
      </w:pPr>
      <w:r>
        <w:t xml:space="preserve">one mainstream organisation claiming to provide all services </w:t>
      </w:r>
    </w:p>
    <w:p w14:paraId="5CFAF8B0" w14:textId="72F25209" w:rsidR="0005241A" w:rsidRPr="00194042" w:rsidRDefault="0005241A" w:rsidP="0005241A">
      <w:pPr>
        <w:pStyle w:val="Bulletlist"/>
      </w:pPr>
      <w:r w:rsidRPr="00194042">
        <w:t>a high amount of commercial gain to be had from the grant</w:t>
      </w:r>
      <w:r w:rsidR="002821E9" w:rsidRPr="00194042">
        <w:t>.</w:t>
      </w:r>
    </w:p>
    <w:p w14:paraId="23235AC5" w14:textId="41EAFDDC" w:rsidR="00D20D16" w:rsidRDefault="00005FD6" w:rsidP="00D20D16">
      <w:pPr>
        <w:pStyle w:val="QuoteSmall"/>
      </w:pPr>
      <w:r>
        <w:t>‘</w:t>
      </w:r>
      <w:r w:rsidR="00D20D16">
        <w:t>L</w:t>
      </w:r>
      <w:r w:rsidR="00D20D16" w:rsidRPr="00D20D16">
        <w:t xml:space="preserve">ook at their building record and whether they can actually provide the materials and a safe structure. Also, if they follow safety procedures </w:t>
      </w:r>
      <w:r w:rsidR="00D20D16">
        <w:t xml:space="preserve">with </w:t>
      </w:r>
      <w:r w:rsidR="00D20D16" w:rsidRPr="00D20D16">
        <w:t>electrical and plumbing</w:t>
      </w:r>
      <w:r w:rsidR="00CE727B">
        <w:rPr>
          <w:lang w:eastAsia="en-AU"/>
        </w:rPr>
        <w:t xml:space="preserve"> … </w:t>
      </w:r>
      <w:r w:rsidR="00D20D16" w:rsidRPr="00D20D16">
        <w:t>or have any history of faulty procedures</w:t>
      </w:r>
      <w:r w:rsidR="00AF7EEB">
        <w:t>.’</w:t>
      </w:r>
      <w:r w:rsidR="00D20D16">
        <w:t xml:space="preserve"> (Stakeholder, CALD, Regional/Remote) </w:t>
      </w:r>
    </w:p>
    <w:p w14:paraId="1E5E0173" w14:textId="77777777" w:rsidR="00C62EFC" w:rsidRDefault="00C62EFC" w:rsidP="00D20D16">
      <w:pPr>
        <w:pStyle w:val="QuoteSmall"/>
      </w:pPr>
    </w:p>
    <w:p w14:paraId="176A5001" w14:textId="48B7212B" w:rsidR="00C62EFC" w:rsidRPr="00911F15" w:rsidRDefault="00AF7EEB" w:rsidP="00D20D16">
      <w:pPr>
        <w:pStyle w:val="QuoteSmall"/>
      </w:pPr>
      <w:r>
        <w:t>‘</w:t>
      </w:r>
      <w:r w:rsidR="00C62EFC">
        <w:t>[A red flag would be] I</w:t>
      </w:r>
      <w:r w:rsidR="00C62EFC" w:rsidRPr="00C62EFC">
        <w:t>f there is an application from a mainstream service, where the service believes it can do it all in-house</w:t>
      </w:r>
      <w:r>
        <w:t>.’</w:t>
      </w:r>
      <w:r w:rsidR="00C62EFC">
        <w:t xml:space="preserve"> (Stakeholder, CALD, Urban)  </w:t>
      </w:r>
    </w:p>
    <w:p w14:paraId="648BE4D1" w14:textId="77777777" w:rsidR="00D20D16" w:rsidRDefault="00D20D16" w:rsidP="00D20D16"/>
    <w:p w14:paraId="65D61771" w14:textId="5B935CAD" w:rsidR="00A91ED8" w:rsidRDefault="0084406A" w:rsidP="00D20D16">
      <w:r>
        <w:t>P</w:t>
      </w:r>
      <w:r w:rsidR="00A91ED8">
        <w:t>articipants suggested</w:t>
      </w:r>
      <w:r w:rsidR="00A91ED8" w:rsidRPr="0084406A">
        <w:t xml:space="preserve"> a red flag </w:t>
      </w:r>
      <w:r w:rsidRPr="0084406A">
        <w:t>(particularly for women and children from CALD and First Nations backgrounds)</w:t>
      </w:r>
      <w:r>
        <w:t xml:space="preserve"> would be</w:t>
      </w:r>
      <w:r>
        <w:rPr>
          <w:b/>
          <w:bCs/>
        </w:rPr>
        <w:t xml:space="preserve"> </w:t>
      </w:r>
      <w:r w:rsidR="00A91ED8" w:rsidRPr="00CB5A8F">
        <w:rPr>
          <w:b/>
          <w:bCs/>
        </w:rPr>
        <w:t xml:space="preserve">if organisations do not demonstrate cultural safety in their application, or how they would apply a multicultural lens to their program </w:t>
      </w:r>
      <w:r w:rsidR="00CB5A8F">
        <w:rPr>
          <w:b/>
          <w:bCs/>
        </w:rPr>
        <w:t>implementation</w:t>
      </w:r>
      <w:r w:rsidR="00A91ED8">
        <w:t xml:space="preserve">. Stakeholders with expertise working with First Nations women and children suggested caution around </w:t>
      </w:r>
      <w:r>
        <w:t>applicants</w:t>
      </w:r>
      <w:r w:rsidR="00A91ED8">
        <w:t xml:space="preserve"> </w:t>
      </w:r>
      <w:r w:rsidR="002821E9">
        <w:t>that</w:t>
      </w:r>
      <w:r w:rsidR="00A91ED8">
        <w:t xml:space="preserve"> cite Aboriginal staff but are no</w:t>
      </w:r>
      <w:r w:rsidR="00A91ED8" w:rsidRPr="0084406A">
        <w:t>t Aboriginal Community Controlled</w:t>
      </w:r>
      <w:r>
        <w:t xml:space="preserve"> Organisations</w:t>
      </w:r>
      <w:r w:rsidR="00A91ED8" w:rsidRPr="0084406A">
        <w:t>.</w:t>
      </w:r>
      <w:r w:rsidR="00A91ED8">
        <w:t xml:space="preserve"> </w:t>
      </w:r>
    </w:p>
    <w:p w14:paraId="614E2B02" w14:textId="624124FB" w:rsidR="00A91ED8" w:rsidRDefault="0044035B" w:rsidP="00A91ED8">
      <w:pPr>
        <w:pStyle w:val="QuoteSmall"/>
      </w:pPr>
      <w:r>
        <w:t>‘</w:t>
      </w:r>
      <w:r w:rsidR="00A91ED8">
        <w:t>T</w:t>
      </w:r>
      <w:r w:rsidR="00A91ED8" w:rsidRPr="00A91ED8">
        <w:t>here’s also a lot of black cladding going on, which I think we can all speak of. We know what’s been happening.  Where there are organisations that are non-Indigenously owned.  They may have a couple o</w:t>
      </w:r>
      <w:r w:rsidR="00A91ED8" w:rsidRPr="003816C2">
        <w:t xml:space="preserve">f </w:t>
      </w:r>
      <w:r w:rsidR="00B72632" w:rsidRPr="003816C2">
        <w:t>B</w:t>
      </w:r>
      <w:r w:rsidR="00A91ED8" w:rsidRPr="003816C2">
        <w:t>lac</w:t>
      </w:r>
      <w:r w:rsidR="00A91ED8" w:rsidRPr="00A91ED8">
        <w:t>k workers, but then they can claim that they’re part or 50% Aboriginal run</w:t>
      </w:r>
      <w:r w:rsidR="00CE727B">
        <w:rPr>
          <w:lang w:eastAsia="en-AU"/>
        </w:rPr>
        <w:t xml:space="preserve"> … </w:t>
      </w:r>
      <w:r w:rsidR="00B72632" w:rsidRPr="00A91ED8">
        <w:t>So,</w:t>
      </w:r>
      <w:r w:rsidR="00A91ED8" w:rsidRPr="00A91ED8">
        <w:t xml:space="preserve"> I think it’s making sure they’re 100% </w:t>
      </w:r>
      <w:r w:rsidR="00B72632">
        <w:t>B</w:t>
      </w:r>
      <w:r w:rsidR="00A91ED8" w:rsidRPr="00A91ED8">
        <w:t>lack</w:t>
      </w:r>
      <w:r w:rsidR="00B72632">
        <w:t>-</w:t>
      </w:r>
      <w:r w:rsidR="00A91ED8" w:rsidRPr="00A91ED8">
        <w:t xml:space="preserve">owned, Aboriginal </w:t>
      </w:r>
      <w:r w:rsidR="00B72632" w:rsidRPr="003816C2">
        <w:t>C</w:t>
      </w:r>
      <w:r w:rsidR="00A91ED8" w:rsidRPr="003816C2">
        <w:t>om</w:t>
      </w:r>
      <w:r w:rsidR="00A91ED8" w:rsidRPr="00A91ED8">
        <w:t>munity</w:t>
      </w:r>
      <w:r w:rsidR="003816C2">
        <w:t xml:space="preserve"> </w:t>
      </w:r>
      <w:r w:rsidR="00B72632">
        <w:t>C</w:t>
      </w:r>
      <w:r w:rsidR="00A91ED8" w:rsidRPr="00A91ED8">
        <w:t xml:space="preserve">ontrolled </w:t>
      </w:r>
      <w:r w:rsidR="00B72632">
        <w:t>O</w:t>
      </w:r>
      <w:r w:rsidR="00A91ED8" w:rsidRPr="00A91ED8">
        <w:t>rganisations, that are applying for those grants</w:t>
      </w:r>
      <w:r w:rsidR="00AF7EEB">
        <w:t>.’</w:t>
      </w:r>
      <w:r w:rsidR="00A91ED8">
        <w:t xml:space="preserve"> (Stakeholder, First Nations, Regional/Remote) </w:t>
      </w:r>
    </w:p>
    <w:p w14:paraId="0ED4C738" w14:textId="77777777" w:rsidR="00A91ED8" w:rsidRDefault="00A91ED8" w:rsidP="00A91ED8"/>
    <w:p w14:paraId="13EB5A81" w14:textId="100896F1" w:rsidR="00F3460F" w:rsidRDefault="002D7651" w:rsidP="00F3460F">
      <w:pPr>
        <w:pStyle w:val="Heading2"/>
      </w:pPr>
      <w:bookmarkStart w:id="29" w:name="_Toc147910406"/>
      <w:r w:rsidRPr="009A5330">
        <w:lastRenderedPageBreak/>
        <w:t xml:space="preserve">How should </w:t>
      </w:r>
      <w:r w:rsidR="00FC4489">
        <w:t>DSS</w:t>
      </w:r>
      <w:r w:rsidRPr="009A5330">
        <w:t xml:space="preserve"> manage and support successful grant applicants, in the implementation of their projects?</w:t>
      </w:r>
      <w:bookmarkEnd w:id="29"/>
    </w:p>
    <w:p w14:paraId="46FBD251" w14:textId="35450364" w:rsidR="00E406AC" w:rsidRDefault="00E406AC" w:rsidP="00E406AC">
      <w:pPr>
        <w:pStyle w:val="Heading3"/>
      </w:pPr>
      <w:r>
        <w:t xml:space="preserve">How </w:t>
      </w:r>
      <w:r w:rsidR="00FC4489">
        <w:t>DSS</w:t>
      </w:r>
      <w:r>
        <w:t xml:space="preserve"> can support applications</w:t>
      </w:r>
    </w:p>
    <w:p w14:paraId="45C043E5" w14:textId="6C85FE1B" w:rsidR="00CE1491" w:rsidRDefault="00CE1491" w:rsidP="00CE1491">
      <w:r>
        <w:t xml:space="preserve">Participants were asked about their previous experience with applying for grants </w:t>
      </w:r>
      <w:r w:rsidRPr="0084406A">
        <w:t xml:space="preserve">similar to the Safe Places Inclusion </w:t>
      </w:r>
      <w:r w:rsidR="002821E9" w:rsidRPr="0084406A">
        <w:t>R</w:t>
      </w:r>
      <w:r w:rsidRPr="0084406A">
        <w:t>ound, including what had worked well, where they had faced</w:t>
      </w:r>
      <w:r>
        <w:t xml:space="preserve"> challenges, and the ways in which </w:t>
      </w:r>
      <w:r w:rsidR="00FC4489">
        <w:t>DSS</w:t>
      </w:r>
      <w:r>
        <w:t xml:space="preserve"> could support them in their application. Some participants had not had experience applying for a grant, but stakeholders across the sector gave clear indications about the kinds of barriers </w:t>
      </w:r>
      <w:r w:rsidRPr="00857C8F">
        <w:t xml:space="preserve">they face, and what </w:t>
      </w:r>
      <w:r w:rsidR="00FC4489" w:rsidRPr="00857C8F">
        <w:t>DSS</w:t>
      </w:r>
      <w:r w:rsidRPr="00857C8F">
        <w:t xml:space="preserve"> could do to help overcome these.</w:t>
      </w:r>
      <w:r>
        <w:t xml:space="preserve"> </w:t>
      </w:r>
    </w:p>
    <w:p w14:paraId="7BF97331" w14:textId="6CE98FB6" w:rsidR="00CE1491" w:rsidRDefault="0096534E" w:rsidP="00CE1491">
      <w:r>
        <w:t>In describing the barriers and challenges in applying for grants</w:t>
      </w:r>
      <w:r w:rsidRPr="00FD67DB">
        <w:rPr>
          <w:b/>
          <w:bCs/>
        </w:rPr>
        <w:t>, stakeholders most frequently raised a lack of time to dedicate to design of a program and writing the proposal</w:t>
      </w:r>
      <w:r w:rsidR="001702D1">
        <w:rPr>
          <w:b/>
          <w:bCs/>
        </w:rPr>
        <w:t>, and lack of internal expertise in grant</w:t>
      </w:r>
      <w:r w:rsidR="00857C8F">
        <w:rPr>
          <w:b/>
          <w:bCs/>
        </w:rPr>
        <w:t xml:space="preserve"> </w:t>
      </w:r>
      <w:r w:rsidR="001702D1">
        <w:rPr>
          <w:b/>
          <w:bCs/>
        </w:rPr>
        <w:t>writing</w:t>
      </w:r>
      <w:r>
        <w:t xml:space="preserve">. </w:t>
      </w:r>
      <w:r w:rsidR="00857C8F">
        <w:t>P</w:t>
      </w:r>
      <w:r w:rsidR="00E222EA" w:rsidRPr="00857C8F">
        <w:t>articu</w:t>
      </w:r>
      <w:r w:rsidR="00E222EA">
        <w:t xml:space="preserve">larly for an application of this size and scope, many organisations would need to partner with other organisations or services, which adds to the time involved. </w:t>
      </w:r>
    </w:p>
    <w:p w14:paraId="2BC51830" w14:textId="573B3A38" w:rsidR="00E222EA" w:rsidRDefault="00AF7EEB" w:rsidP="00E222EA">
      <w:pPr>
        <w:pStyle w:val="QuoteSmall"/>
      </w:pPr>
      <w:r>
        <w:t>‘</w:t>
      </w:r>
      <w:r w:rsidR="00E222EA">
        <w:t>Y</w:t>
      </w:r>
      <w:r w:rsidR="00E222EA" w:rsidRPr="00E222EA">
        <w:t>ou have to incorporate the building</w:t>
      </w:r>
      <w:r w:rsidR="00E222EA">
        <w:t xml:space="preserve"> and </w:t>
      </w:r>
      <w:r w:rsidR="00E222EA" w:rsidRPr="00E222EA">
        <w:t>need to work together with a builder that has that experience with building community places</w:t>
      </w:r>
      <w:r w:rsidR="00CE727B">
        <w:rPr>
          <w:lang w:eastAsia="en-AU"/>
        </w:rPr>
        <w:t xml:space="preserve"> … </w:t>
      </w:r>
      <w:r w:rsidR="00E222EA">
        <w:t xml:space="preserve">[would you need] </w:t>
      </w:r>
      <w:r w:rsidR="00E222EA" w:rsidRPr="00E222EA">
        <w:t>different partners in one application</w:t>
      </w:r>
      <w:r w:rsidR="00E222EA">
        <w:t xml:space="preserve">… </w:t>
      </w:r>
      <w:r w:rsidR="00E222EA" w:rsidRPr="00E222EA">
        <w:t>would you have to source a builder?</w:t>
      </w:r>
      <w:r w:rsidR="00814F64">
        <w:t>’</w:t>
      </w:r>
      <w:r w:rsidR="00E222EA">
        <w:t xml:space="preserve"> (Stakeholder, CALD, Regional/Remote) </w:t>
      </w:r>
    </w:p>
    <w:p w14:paraId="433DA6CE" w14:textId="77777777" w:rsidR="00E222EA" w:rsidRDefault="00E222EA" w:rsidP="00E222EA">
      <w:pPr>
        <w:pStyle w:val="QuoteSmall"/>
      </w:pPr>
    </w:p>
    <w:p w14:paraId="2F34FD9C" w14:textId="7B8D9686" w:rsidR="0096534E" w:rsidRDefault="00AF7EEB" w:rsidP="00F21A34">
      <w:pPr>
        <w:pStyle w:val="QuoteSmall"/>
      </w:pPr>
      <w:r>
        <w:t>‘</w:t>
      </w:r>
      <w:r w:rsidR="00E222EA">
        <w:t>W</w:t>
      </w:r>
      <w:r w:rsidR="00E222EA" w:rsidRPr="00E222EA">
        <w:t>e don’t have grant writers</w:t>
      </w:r>
      <w:r w:rsidR="007572BC">
        <w:t xml:space="preserve"> – </w:t>
      </w:r>
      <w:r w:rsidR="00F11ED5">
        <w:t xml:space="preserve">[we </w:t>
      </w:r>
      <w:r w:rsidR="0024041F">
        <w:t>need]</w:t>
      </w:r>
      <w:r w:rsidR="002D744E">
        <w:rPr>
          <w:lang w:eastAsia="en-AU"/>
        </w:rPr>
        <w:t xml:space="preserve"> … </w:t>
      </w:r>
      <w:r w:rsidR="00E222EA" w:rsidRPr="00E222EA">
        <w:t>time to prepare and put good quality submissions in</w:t>
      </w:r>
      <w:r>
        <w:t>.’</w:t>
      </w:r>
      <w:r w:rsidR="00F11ED5">
        <w:t xml:space="preserve"> (Stakeholder, CALD, Urban)</w:t>
      </w:r>
    </w:p>
    <w:p w14:paraId="1EF21C2C" w14:textId="77777777" w:rsidR="002C3B29" w:rsidRDefault="002C3B29" w:rsidP="00F21A34"/>
    <w:p w14:paraId="492F76EF" w14:textId="4473F8B9" w:rsidR="00D93260" w:rsidRPr="00FD67DB" w:rsidRDefault="002C3B29" w:rsidP="00F21A34">
      <w:pPr>
        <w:rPr>
          <w:b/>
          <w:bCs/>
        </w:rPr>
      </w:pPr>
      <w:r w:rsidRPr="00857C8F">
        <w:t xml:space="preserve">Participants suggested </w:t>
      </w:r>
      <w:r w:rsidR="0016128B">
        <w:t xml:space="preserve">various </w:t>
      </w:r>
      <w:r w:rsidRPr="00857C8F">
        <w:t xml:space="preserve">ways </w:t>
      </w:r>
      <w:r w:rsidR="00FC4489" w:rsidRPr="00857C8F">
        <w:t>DSS</w:t>
      </w:r>
      <w:r w:rsidRPr="00857C8F">
        <w:t xml:space="preserve"> can support applicants during this process. </w:t>
      </w:r>
      <w:r w:rsidR="00092347" w:rsidRPr="00857C8F">
        <w:rPr>
          <w:b/>
          <w:bCs/>
        </w:rPr>
        <w:t>Most important was provi</w:t>
      </w:r>
      <w:r w:rsidR="0016128B">
        <w:rPr>
          <w:b/>
          <w:bCs/>
        </w:rPr>
        <w:t>ding</w:t>
      </w:r>
      <w:r w:rsidR="00092347" w:rsidRPr="00857C8F">
        <w:rPr>
          <w:b/>
          <w:bCs/>
        </w:rPr>
        <w:t xml:space="preserve"> clear information to applicants</w:t>
      </w:r>
      <w:r w:rsidR="0016128B">
        <w:rPr>
          <w:b/>
          <w:bCs/>
        </w:rPr>
        <w:t xml:space="preserve"> –</w:t>
      </w:r>
      <w:r w:rsidR="00092347" w:rsidRPr="00857C8F">
        <w:rPr>
          <w:b/>
          <w:bCs/>
        </w:rPr>
        <w:t xml:space="preserve"> in the form of workshops, forums or feedback on applications.</w:t>
      </w:r>
      <w:r w:rsidR="00092347" w:rsidRPr="00FD67DB">
        <w:rPr>
          <w:b/>
          <w:bCs/>
        </w:rPr>
        <w:t xml:space="preserve"> </w:t>
      </w:r>
    </w:p>
    <w:p w14:paraId="3CF29C72" w14:textId="3019BA7C" w:rsidR="00D93260" w:rsidRDefault="00AF7EEB" w:rsidP="00D93260">
      <w:pPr>
        <w:pStyle w:val="QuoteSmall"/>
      </w:pPr>
      <w:r>
        <w:t>‘</w:t>
      </w:r>
      <w:r w:rsidR="00D93260">
        <w:t>F</w:t>
      </w:r>
      <w:r w:rsidR="00D93260" w:rsidRPr="00D93260">
        <w:t>orums [in] regards to available grants would be great</w:t>
      </w:r>
      <w:r w:rsidR="002D744E">
        <w:rPr>
          <w:lang w:eastAsia="en-AU"/>
        </w:rPr>
        <w:t xml:space="preserve"> … </w:t>
      </w:r>
      <w:r w:rsidR="00D93260">
        <w:t xml:space="preserve">and </w:t>
      </w:r>
      <w:r w:rsidR="00D93260" w:rsidRPr="00D93260">
        <w:t>a specific individual</w:t>
      </w:r>
      <w:r w:rsidR="00FA3771">
        <w:t xml:space="preserve"> or </w:t>
      </w:r>
      <w:r w:rsidR="00D93260" w:rsidRPr="00D93260">
        <w:t>point of contact</w:t>
      </w:r>
      <w:r w:rsidR="00D93260">
        <w:t xml:space="preserve"> [is] </w:t>
      </w:r>
      <w:r w:rsidR="00D93260" w:rsidRPr="00D93260">
        <w:t>always useful too</w:t>
      </w:r>
      <w:r>
        <w:t>.’</w:t>
      </w:r>
      <w:r w:rsidR="00D93260">
        <w:t xml:space="preserve"> (Stakeholder, CALD, Urban)</w:t>
      </w:r>
    </w:p>
    <w:p w14:paraId="4268914A" w14:textId="77777777" w:rsidR="000F72F3" w:rsidRDefault="000F72F3" w:rsidP="00D93260">
      <w:pPr>
        <w:pStyle w:val="QuoteSmall"/>
      </w:pPr>
    </w:p>
    <w:p w14:paraId="409A8F7C" w14:textId="57D2AE99" w:rsidR="000F72F3" w:rsidRDefault="00AF7EEB" w:rsidP="00D93260">
      <w:pPr>
        <w:pStyle w:val="QuoteSmall"/>
      </w:pPr>
      <w:r>
        <w:t>‘</w:t>
      </w:r>
      <w:r w:rsidR="000F72F3" w:rsidRPr="000F72F3">
        <w:t>There needs to be workshops in the communities about the tender process and application, so they are aware this is available. They need to offer resources to communities on tender writing. If an organisation is unsuccessful, they should offer feedback</w:t>
      </w:r>
      <w:r>
        <w:t>.’</w:t>
      </w:r>
      <w:r w:rsidR="000F72F3">
        <w:t xml:space="preserve"> (Stakeholder, First Nations, Regional/Remote)</w:t>
      </w:r>
    </w:p>
    <w:p w14:paraId="047F6C74" w14:textId="77777777" w:rsidR="00D93260" w:rsidRDefault="00D93260" w:rsidP="00F21A34"/>
    <w:p w14:paraId="277060E7" w14:textId="6613E263" w:rsidR="00F21A34" w:rsidRDefault="00092347" w:rsidP="00F21A34">
      <w:r w:rsidRPr="0016128B">
        <w:t>Other strategies to support those applying for the grant</w:t>
      </w:r>
      <w:r>
        <w:t xml:space="preserve"> include: </w:t>
      </w:r>
    </w:p>
    <w:p w14:paraId="1D4251B1" w14:textId="23E0EAC6" w:rsidR="00092347" w:rsidRDefault="009F45E6" w:rsidP="00092347">
      <w:pPr>
        <w:pStyle w:val="Bulletlist"/>
      </w:pPr>
      <w:r>
        <w:t xml:space="preserve">additional </w:t>
      </w:r>
      <w:r w:rsidR="00FA3771">
        <w:t>t</w:t>
      </w:r>
      <w:r w:rsidR="00092347">
        <w:t>ime</w:t>
      </w:r>
      <w:r w:rsidR="00FA3771">
        <w:t xml:space="preserve"> to prepare an application</w:t>
      </w:r>
    </w:p>
    <w:p w14:paraId="1444A9A0" w14:textId="069B7C9C" w:rsidR="00092347" w:rsidRDefault="009F45E6" w:rsidP="00092347">
      <w:pPr>
        <w:pStyle w:val="Bulletlist"/>
      </w:pPr>
      <w:r>
        <w:t xml:space="preserve">funding to support application development </w:t>
      </w:r>
    </w:p>
    <w:p w14:paraId="292C2D0D" w14:textId="10710F8D" w:rsidR="00092347" w:rsidRDefault="009F45E6" w:rsidP="00092347">
      <w:pPr>
        <w:pStyle w:val="Bulletlist"/>
      </w:pPr>
      <w:r>
        <w:lastRenderedPageBreak/>
        <w:t xml:space="preserve">providing </w:t>
      </w:r>
      <w:r w:rsidR="00092347">
        <w:t>an opportunity for an initial proposal</w:t>
      </w:r>
      <w:r w:rsidR="00B72632">
        <w:t xml:space="preserve"> or </w:t>
      </w:r>
      <w:r>
        <w:t>e</w:t>
      </w:r>
      <w:r w:rsidR="00B72632">
        <w:t xml:space="preserve">xpression of </w:t>
      </w:r>
      <w:r>
        <w:t>i</w:t>
      </w:r>
      <w:r w:rsidR="00B72632">
        <w:t>nterest</w:t>
      </w:r>
      <w:r w:rsidR="00565767">
        <w:t xml:space="preserve">, with additional funding to </w:t>
      </w:r>
      <w:r w:rsidR="00565767" w:rsidRPr="0016128B">
        <w:t xml:space="preserve">develop </w:t>
      </w:r>
      <w:r w:rsidR="0016128B">
        <w:t xml:space="preserve">further </w:t>
      </w:r>
      <w:r w:rsidR="00565767" w:rsidRPr="0016128B">
        <w:t>after being shortlisted</w:t>
      </w:r>
    </w:p>
    <w:p w14:paraId="1EC921F8" w14:textId="5C6E6153" w:rsidR="00092347" w:rsidRDefault="009F45E6" w:rsidP="00092347">
      <w:pPr>
        <w:pStyle w:val="Bulletlist"/>
      </w:pPr>
      <w:r>
        <w:t xml:space="preserve">encouraging </w:t>
      </w:r>
      <w:r w:rsidR="00092347">
        <w:t xml:space="preserve">smaller organisations </w:t>
      </w:r>
      <w:r w:rsidR="00510215">
        <w:t>to apply</w:t>
      </w:r>
      <w:r w:rsidR="00565767">
        <w:t>, and providing the necessary supports</w:t>
      </w:r>
    </w:p>
    <w:p w14:paraId="2528DD32" w14:textId="214F5011" w:rsidR="00092347" w:rsidRDefault="009F45E6" w:rsidP="00092347">
      <w:pPr>
        <w:pStyle w:val="Bulletlist"/>
      </w:pPr>
      <w:r>
        <w:t xml:space="preserve">encouraging </w:t>
      </w:r>
      <w:r w:rsidR="00092347">
        <w:t>partnerships</w:t>
      </w:r>
      <w:r w:rsidR="004F3607">
        <w:t xml:space="preserve"> between smaller organisations and larger ones</w:t>
      </w:r>
      <w:r w:rsidR="00510215">
        <w:t>.</w:t>
      </w:r>
    </w:p>
    <w:p w14:paraId="2BBA8030" w14:textId="1A050D33" w:rsidR="00565767" w:rsidRDefault="00AF7EEB" w:rsidP="00565767">
      <w:pPr>
        <w:pStyle w:val="QuoteSmall"/>
      </w:pPr>
      <w:r>
        <w:t>‘</w:t>
      </w:r>
      <w:r w:rsidR="00565767" w:rsidRPr="00565767">
        <w:t>In the UK in a tender process</w:t>
      </w:r>
      <w:r w:rsidR="002D744E">
        <w:rPr>
          <w:lang w:eastAsia="en-AU"/>
        </w:rPr>
        <w:t xml:space="preserve"> … </w:t>
      </w:r>
      <w:r w:rsidR="00565767" w:rsidRPr="00565767">
        <w:t xml:space="preserve">if you have been shortlisted </w:t>
      </w:r>
      <w:r w:rsidR="00565767" w:rsidRPr="003816C2">
        <w:t>–</w:t>
      </w:r>
      <w:r w:rsidR="00565767" w:rsidRPr="00565767">
        <w:t xml:space="preserve"> the candidates would get a reasonable fee to develop the proposal further.</w:t>
      </w:r>
      <w:r w:rsidR="00565767">
        <w:t xml:space="preserve"> T</w:t>
      </w:r>
      <w:r w:rsidR="00565767" w:rsidRPr="00565767">
        <w:t>he second stage would need to be at least a year in process with a specialist person/project manager to take it forward but with a fee to do this. Small organisations like ours generally will not have capacity or skills to take a building project forward, but could, with a fee</w:t>
      </w:r>
      <w:r w:rsidR="007572BC">
        <w:t>,</w:t>
      </w:r>
      <w:r w:rsidR="00565767" w:rsidRPr="00565767">
        <w:t xml:space="preserve"> appoint someone with the right skills to manage this</w:t>
      </w:r>
      <w:r>
        <w:t>.’</w:t>
      </w:r>
      <w:r w:rsidR="00565767">
        <w:t xml:space="preserve"> (Stakeholder, CALD, Regional/Remote) </w:t>
      </w:r>
    </w:p>
    <w:p w14:paraId="2CD46DAE" w14:textId="77777777" w:rsidR="00565767" w:rsidRDefault="00565767" w:rsidP="00565767">
      <w:pPr>
        <w:pStyle w:val="QuoteSmall"/>
      </w:pPr>
    </w:p>
    <w:p w14:paraId="6C80878C" w14:textId="22F87607" w:rsidR="00565767" w:rsidRDefault="00AF7EEB" w:rsidP="00565767">
      <w:pPr>
        <w:pStyle w:val="QuoteSmall"/>
      </w:pPr>
      <w:r>
        <w:t>‘</w:t>
      </w:r>
      <w:r w:rsidR="00565767" w:rsidRPr="00565767">
        <w:t>I understand that larger organi</w:t>
      </w:r>
      <w:r w:rsidR="007572BC">
        <w:t>s</w:t>
      </w:r>
      <w:r w:rsidR="00565767" w:rsidRPr="00565767">
        <w:t>ations have the resources to actually pull it off in a timely manner</w:t>
      </w:r>
      <w:r w:rsidR="002D744E">
        <w:rPr>
          <w:lang w:eastAsia="en-AU"/>
        </w:rPr>
        <w:t xml:space="preserve"> … </w:t>
      </w:r>
      <w:r w:rsidR="00565767" w:rsidRPr="00565767">
        <w:t>But you know, how do we bring in</w:t>
      </w:r>
      <w:r w:rsidR="002D744E">
        <w:rPr>
          <w:lang w:eastAsia="en-AU"/>
        </w:rPr>
        <w:t xml:space="preserve"> … </w:t>
      </w:r>
      <w:r w:rsidR="00565767" w:rsidRPr="00565767">
        <w:t>some of the other organi</w:t>
      </w:r>
      <w:r w:rsidR="00565767">
        <w:t>s</w:t>
      </w:r>
      <w:r w:rsidR="00565767" w:rsidRPr="00565767">
        <w:t>ations</w:t>
      </w:r>
      <w:r w:rsidR="00565767">
        <w:t>? W</w:t>
      </w:r>
      <w:r w:rsidR="00565767" w:rsidRPr="00565767">
        <w:t>hether it is, say, one organi</w:t>
      </w:r>
      <w:r w:rsidR="007572BC">
        <w:t>s</w:t>
      </w:r>
      <w:r w:rsidR="00565767" w:rsidRPr="00565767">
        <w:t>ation assisting with the service, or they get on a panel together where</w:t>
      </w:r>
      <w:r w:rsidR="002D744E">
        <w:rPr>
          <w:lang w:eastAsia="en-AU"/>
        </w:rPr>
        <w:t xml:space="preserve"> … </w:t>
      </w:r>
      <w:r w:rsidR="00565767" w:rsidRPr="00565767">
        <w:t>there's some sort of oversight and actually bringing it together</w:t>
      </w:r>
      <w:r w:rsidR="00565767">
        <w:t>,</w:t>
      </w:r>
      <w:r w:rsidR="00565767" w:rsidRPr="00565767">
        <w:t xml:space="preserve"> and then the small organi</w:t>
      </w:r>
      <w:r w:rsidR="00565767">
        <w:t>s</w:t>
      </w:r>
      <w:r w:rsidR="00565767" w:rsidRPr="00565767">
        <w:t>ation actually</w:t>
      </w:r>
      <w:r w:rsidR="00565767">
        <w:t xml:space="preserve"> has</w:t>
      </w:r>
      <w:r w:rsidR="00565767" w:rsidRPr="00565767">
        <w:t xml:space="preserve"> the ability to work together and grow at the same tim</w:t>
      </w:r>
      <w:r w:rsidR="00565767">
        <w:t>e</w:t>
      </w:r>
      <w:r>
        <w:t>.’</w:t>
      </w:r>
      <w:r w:rsidR="00565767">
        <w:t xml:space="preserve"> (Stakeholder, Disability, Urban)</w:t>
      </w:r>
    </w:p>
    <w:p w14:paraId="19DCEFD0" w14:textId="77777777" w:rsidR="00565767" w:rsidRDefault="00565767" w:rsidP="00F21A34"/>
    <w:p w14:paraId="4BE8AC0B" w14:textId="67F59507" w:rsidR="008774C9" w:rsidRDefault="00C26C8B" w:rsidP="00F21A34">
      <w:r>
        <w:t xml:space="preserve">Participants </w:t>
      </w:r>
      <w:r w:rsidR="00A808C5">
        <w:t xml:space="preserve">were asked about the feasibility of a 6-month development period for the application. Not </w:t>
      </w:r>
      <w:r w:rsidR="00A808C5" w:rsidRPr="0016128B">
        <w:t xml:space="preserve">all groups responded to this explicitly </w:t>
      </w:r>
      <w:r w:rsidR="0016128B">
        <w:t xml:space="preserve">and </w:t>
      </w:r>
      <w:r w:rsidR="00A808C5" w:rsidRPr="0016128B">
        <w:t>there were mixed responses about the appropriateness of</w:t>
      </w:r>
      <w:r w:rsidR="00A808C5">
        <w:t xml:space="preserve"> this timeframe. </w:t>
      </w:r>
      <w:r w:rsidR="008774C9">
        <w:t xml:space="preserve">Generally, </w:t>
      </w:r>
      <w:r w:rsidR="008774C9" w:rsidRPr="00017A05">
        <w:rPr>
          <w:b/>
          <w:bCs/>
        </w:rPr>
        <w:t>6-months is deemed sufficient for organisations based in urban centres with more resources, however organisations servicing regional and remote areas may need more time</w:t>
      </w:r>
      <w:r w:rsidR="00631E4B">
        <w:t xml:space="preserve"> to develop the proposal</w:t>
      </w:r>
      <w:r w:rsidR="008774C9">
        <w:t xml:space="preserve">, due to </w:t>
      </w:r>
      <w:r w:rsidR="00631E4B">
        <w:t xml:space="preserve">the </w:t>
      </w:r>
      <w:r w:rsidR="008774C9">
        <w:t>additional barriers that they face</w:t>
      </w:r>
      <w:r w:rsidR="00631E4B">
        <w:t xml:space="preserve"> (explained in more detail below)</w:t>
      </w:r>
      <w:r w:rsidR="008774C9">
        <w:t xml:space="preserve">. </w:t>
      </w:r>
    </w:p>
    <w:p w14:paraId="381D05A7" w14:textId="2AF7E738" w:rsidR="008774C9" w:rsidRDefault="00AF7EEB" w:rsidP="003E7D28">
      <w:pPr>
        <w:pStyle w:val="QuoteSmall"/>
      </w:pPr>
      <w:r>
        <w:t>‘</w:t>
      </w:r>
      <w:r w:rsidR="008774C9" w:rsidRPr="008774C9">
        <w:t>I think it’s really good that there is that period because obviously going through council and your local government area can be tricky</w:t>
      </w:r>
      <w:r w:rsidR="002D744E">
        <w:rPr>
          <w:lang w:eastAsia="en-AU"/>
        </w:rPr>
        <w:t xml:space="preserve"> … </w:t>
      </w:r>
      <w:r w:rsidR="008774C9" w:rsidRPr="008774C9">
        <w:t>having a 6-month period does allow time to get your proposal forward and then you can have a look at where you want to situate your physical space</w:t>
      </w:r>
      <w:r>
        <w:t>.’</w:t>
      </w:r>
      <w:r w:rsidR="008774C9">
        <w:t xml:space="preserve"> (Stakeholder, CALD, Urban)</w:t>
      </w:r>
    </w:p>
    <w:p w14:paraId="4C6EA179" w14:textId="77777777" w:rsidR="008774C9" w:rsidRDefault="008774C9" w:rsidP="003E7D28">
      <w:pPr>
        <w:pStyle w:val="QuoteSmall"/>
      </w:pPr>
    </w:p>
    <w:p w14:paraId="4B357593" w14:textId="1E912D8D" w:rsidR="003E7D28" w:rsidRDefault="00AF7EEB" w:rsidP="003E7D28">
      <w:pPr>
        <w:pStyle w:val="QuoteSmall"/>
      </w:pPr>
      <w:r>
        <w:t>‘</w:t>
      </w:r>
      <w:r w:rsidR="003E7D28">
        <w:t>T</w:t>
      </w:r>
      <w:r w:rsidR="003E7D28" w:rsidRPr="003E7D28">
        <w:t>he planning and development process is huge</w:t>
      </w:r>
      <w:r w:rsidR="003E7D28">
        <w:t xml:space="preserve"> </w:t>
      </w:r>
      <w:r w:rsidR="003E7D28" w:rsidRPr="003E7D28">
        <w:t>and slow in regional and remote areas</w:t>
      </w:r>
      <w:r w:rsidR="003E7D28">
        <w:t xml:space="preserve">… </w:t>
      </w:r>
      <w:r w:rsidR="003E7D28" w:rsidRPr="003E7D28">
        <w:t>organisations would need a year at least</w:t>
      </w:r>
      <w:r w:rsidR="002D744E">
        <w:rPr>
          <w:lang w:eastAsia="en-AU"/>
        </w:rPr>
        <w:t xml:space="preserve"> … </w:t>
      </w:r>
      <w:r w:rsidR="007572BC">
        <w:t>H</w:t>
      </w:r>
      <w:r w:rsidR="003E7D28" w:rsidRPr="003E7D28">
        <w:t>ow many houses were they proposing?</w:t>
      </w:r>
      <w:r w:rsidR="0044035B">
        <w:t>’</w:t>
      </w:r>
      <w:r w:rsidR="003E7D28">
        <w:t xml:space="preserve"> (Stakeholder, CALD, Regional/Remote)</w:t>
      </w:r>
    </w:p>
    <w:p w14:paraId="5CEC6157" w14:textId="77777777" w:rsidR="00092347" w:rsidRDefault="00092347" w:rsidP="00F21A34"/>
    <w:p w14:paraId="735F37BF" w14:textId="6AE4A6D0" w:rsidR="00E406AC" w:rsidRDefault="00E406AC" w:rsidP="00F62FCD">
      <w:pPr>
        <w:pStyle w:val="Heading3"/>
      </w:pPr>
      <w:r>
        <w:t xml:space="preserve">How </w:t>
      </w:r>
      <w:r w:rsidR="00FC4489">
        <w:t>DSS</w:t>
      </w:r>
      <w:r>
        <w:t xml:space="preserve"> can support successful grantees</w:t>
      </w:r>
    </w:p>
    <w:p w14:paraId="26EA7EDE" w14:textId="571FC815" w:rsidR="00F62FCD" w:rsidRDefault="003C5CB0" w:rsidP="00F62FCD">
      <w:r>
        <w:t>P</w:t>
      </w:r>
      <w:r w:rsidR="00B16A5B">
        <w:t>articipants suggest</w:t>
      </w:r>
      <w:r>
        <w:t>ed</w:t>
      </w:r>
      <w:r w:rsidR="00B16A5B">
        <w:t xml:space="preserve"> </w:t>
      </w:r>
      <w:r>
        <w:t>ways that</w:t>
      </w:r>
      <w:r w:rsidR="00B16A5B">
        <w:t xml:space="preserve"> </w:t>
      </w:r>
      <w:r w:rsidR="00FC4489">
        <w:t>DSS</w:t>
      </w:r>
      <w:r w:rsidR="00B16A5B">
        <w:t xml:space="preserve"> can manage and support organisations once the</w:t>
      </w:r>
      <w:r>
        <w:t xml:space="preserve">ir </w:t>
      </w:r>
      <w:r w:rsidR="00537585">
        <w:t xml:space="preserve">application </w:t>
      </w:r>
      <w:r>
        <w:t>has been successfu</w:t>
      </w:r>
      <w:r w:rsidRPr="003C5CB0">
        <w:t xml:space="preserve">l </w:t>
      </w:r>
      <w:r w:rsidR="00537585" w:rsidRPr="003C5CB0">
        <w:t>and</w:t>
      </w:r>
      <w:r w:rsidR="00B16A5B" w:rsidRPr="003C5CB0">
        <w:t xml:space="preserve"> </w:t>
      </w:r>
      <w:r>
        <w:t xml:space="preserve">they have been </w:t>
      </w:r>
      <w:r w:rsidR="00B16A5B" w:rsidRPr="003C5CB0">
        <w:t xml:space="preserve">awarded </w:t>
      </w:r>
      <w:r w:rsidR="00537585" w:rsidRPr="003C5CB0">
        <w:t>a</w:t>
      </w:r>
      <w:r w:rsidR="00B16A5B">
        <w:t xml:space="preserve"> grant. Most significantly, </w:t>
      </w:r>
      <w:r w:rsidR="00B16A5B" w:rsidRPr="00B16A5B">
        <w:rPr>
          <w:b/>
          <w:bCs/>
        </w:rPr>
        <w:t xml:space="preserve">stakeholders recommend that </w:t>
      </w:r>
      <w:r w:rsidR="00B16A5B" w:rsidRPr="00B16A5B">
        <w:rPr>
          <w:b/>
          <w:bCs/>
        </w:rPr>
        <w:lastRenderedPageBreak/>
        <w:t xml:space="preserve">additional, ongoing or flexible funding </w:t>
      </w:r>
      <w:r w:rsidR="00FF6EED">
        <w:rPr>
          <w:b/>
          <w:bCs/>
        </w:rPr>
        <w:t>is</w:t>
      </w:r>
      <w:r>
        <w:rPr>
          <w:b/>
          <w:bCs/>
        </w:rPr>
        <w:t xml:space="preserve"> </w:t>
      </w:r>
      <w:r w:rsidR="00B16A5B" w:rsidRPr="00B16A5B">
        <w:rPr>
          <w:b/>
          <w:bCs/>
        </w:rPr>
        <w:t>attached to the grant, particularly for organisations servicing regional and remote areas</w:t>
      </w:r>
      <w:r w:rsidR="0027297E">
        <w:rPr>
          <w:b/>
          <w:bCs/>
        </w:rPr>
        <w:t xml:space="preserve">, </w:t>
      </w:r>
      <w:r w:rsidR="0027297E" w:rsidRPr="0027297E">
        <w:t>which</w:t>
      </w:r>
      <w:r w:rsidR="0027297E">
        <w:t xml:space="preserve"> can allow for greater costs in construction or other service </w:t>
      </w:r>
      <w:r w:rsidR="0027297E" w:rsidRPr="003C5CB0">
        <w:t>provision</w:t>
      </w:r>
      <w:r w:rsidR="00B16A5B" w:rsidRPr="003C5CB0">
        <w:rPr>
          <w:b/>
          <w:bCs/>
        </w:rPr>
        <w:t>.</w:t>
      </w:r>
      <w:r w:rsidR="00B16A5B" w:rsidRPr="003C5CB0">
        <w:t xml:space="preserve"> </w:t>
      </w:r>
      <w:r w:rsidR="00537585" w:rsidRPr="003C5CB0">
        <w:t xml:space="preserve">This is especially relevant for a program involving construction, which is more expensive and has longer timeframes outside urban centres. </w:t>
      </w:r>
      <w:r w:rsidR="00D715FC" w:rsidRPr="003C5CB0">
        <w:t>Some</w:t>
      </w:r>
      <w:r w:rsidR="00537585" w:rsidRPr="003C5CB0">
        <w:t xml:space="preserve"> participant</w:t>
      </w:r>
      <w:r w:rsidR="00D715FC" w:rsidRPr="003C5CB0">
        <w:t>s</w:t>
      </w:r>
      <w:r w:rsidR="00537585" w:rsidRPr="003C5CB0">
        <w:t xml:space="preserve"> expressed concern about the financial risk of implementing such a program, given the timeframe and the additional services </w:t>
      </w:r>
      <w:r w:rsidR="00FF6EED">
        <w:t xml:space="preserve">that </w:t>
      </w:r>
      <w:r w:rsidR="00537585" w:rsidRPr="003C5CB0">
        <w:t>need to be funded.</w:t>
      </w:r>
      <w:r w:rsidR="00537585">
        <w:t xml:space="preserve"> </w:t>
      </w:r>
    </w:p>
    <w:p w14:paraId="0D11D475" w14:textId="0F6AFF42" w:rsidR="00537585" w:rsidRDefault="00AF7EEB" w:rsidP="00537585">
      <w:pPr>
        <w:pStyle w:val="QuoteSmall"/>
      </w:pPr>
      <w:r>
        <w:t>‘</w:t>
      </w:r>
      <w:r w:rsidR="00537585">
        <w:t>T</w:t>
      </w:r>
      <w:r w:rsidR="00537585" w:rsidRPr="00537585">
        <w:t>he fact of the requirements of this accommodation component is tha</w:t>
      </w:r>
      <w:r w:rsidR="00537585">
        <w:t>t</w:t>
      </w:r>
      <w:r w:rsidR="002D744E">
        <w:rPr>
          <w:lang w:eastAsia="en-AU"/>
        </w:rPr>
        <w:t xml:space="preserve"> … </w:t>
      </w:r>
      <w:r w:rsidR="00537585" w:rsidRPr="00537585">
        <w:t>you have to take the financial responsibility of the upkeep of the whole premises for the 15 years as well and without any funding for the services itself. This is just capital for the building, and then the service has to take the financial risk, they have to provide the specialist service directly</w:t>
      </w:r>
      <w:r w:rsidR="007572BC">
        <w:t>. T</w:t>
      </w:r>
      <w:r w:rsidR="00537585" w:rsidRPr="00537585">
        <w:t>hey have to fund it or get funding for it, and then have to keep the upkeep of the dwelling of the accommodation. There's a lot of financial risk here</w:t>
      </w:r>
      <w:r w:rsidR="002D744E">
        <w:rPr>
          <w:lang w:eastAsia="en-AU"/>
        </w:rPr>
        <w:t xml:space="preserve"> … </w:t>
      </w:r>
      <w:r w:rsidR="00537585" w:rsidRPr="00537585">
        <w:t>even if they were to go in</w:t>
      </w:r>
      <w:r w:rsidR="002D744E">
        <w:rPr>
          <w:lang w:eastAsia="en-AU"/>
        </w:rPr>
        <w:t xml:space="preserve"> … </w:t>
      </w:r>
      <w:r w:rsidR="00537585" w:rsidRPr="00537585">
        <w:t>a consortium, there's still major financial risk to any organi</w:t>
      </w:r>
      <w:r w:rsidR="007F307C">
        <w:t>s</w:t>
      </w:r>
      <w:r w:rsidR="00537585" w:rsidRPr="00537585">
        <w:t>ation that takes this on</w:t>
      </w:r>
      <w:r w:rsidR="00537585">
        <w:t>…</w:t>
      </w:r>
      <w:r w:rsidR="00537585" w:rsidRPr="00537585">
        <w:t>particularly if they don't have a revenue to sustain the accommodation, and fund the service as well</w:t>
      </w:r>
      <w:r>
        <w:t>.’</w:t>
      </w:r>
      <w:r w:rsidR="00537585">
        <w:t xml:space="preserve"> (Stakeholder, Disability, Urban) </w:t>
      </w:r>
    </w:p>
    <w:p w14:paraId="00103CC3" w14:textId="77777777" w:rsidR="00D715FC" w:rsidRDefault="00D715FC" w:rsidP="00537585">
      <w:pPr>
        <w:pStyle w:val="QuoteSmall"/>
      </w:pPr>
    </w:p>
    <w:p w14:paraId="09F7B76C" w14:textId="28135987" w:rsidR="00D715FC" w:rsidRDefault="00AF7EEB" w:rsidP="00537585">
      <w:pPr>
        <w:pStyle w:val="QuoteSmall"/>
      </w:pPr>
      <w:r>
        <w:t>‘</w:t>
      </w:r>
      <w:r w:rsidR="00D715FC">
        <w:t>P</w:t>
      </w:r>
      <w:r w:rsidR="00D715FC" w:rsidRPr="00D715FC">
        <w:t>roviding the accommodation is one thing, to then funding the services to provide the wrap</w:t>
      </w:r>
      <w:r w:rsidR="007F307C">
        <w:t>-</w:t>
      </w:r>
      <w:r w:rsidR="00D715FC" w:rsidRPr="00D715FC">
        <w:t xml:space="preserve"> around supports and the staff to support these families in these new properties is really important</w:t>
      </w:r>
      <w:r w:rsidR="002D744E">
        <w:rPr>
          <w:lang w:eastAsia="en-AU"/>
        </w:rPr>
        <w:t xml:space="preserve"> … </w:t>
      </w:r>
      <w:r w:rsidR="00D715FC" w:rsidRPr="00D715FC">
        <w:t>considering they’re thinking about taking funding away from specialist services at the moment</w:t>
      </w:r>
      <w:r w:rsidR="00D715FC">
        <w:t>. T</w:t>
      </w:r>
      <w:r w:rsidR="00D715FC" w:rsidRPr="00D715FC">
        <w:t xml:space="preserve">hey’re taking $2 million away from ACT government and saying </w:t>
      </w:r>
      <w:r w:rsidR="007F307C">
        <w:t>s</w:t>
      </w:r>
      <w:r w:rsidR="00D715FC" w:rsidRPr="00D715FC">
        <w:t>tates now need to pay for this funding which pays wages for staff to do the support work for these properties</w:t>
      </w:r>
      <w:r>
        <w:t>.’</w:t>
      </w:r>
      <w:r w:rsidR="00D715FC" w:rsidRPr="00D715FC">
        <w:t xml:space="preserve"> </w:t>
      </w:r>
      <w:r w:rsidR="00D715FC">
        <w:t>(Stakeholder, CALD, Urban)</w:t>
      </w:r>
    </w:p>
    <w:p w14:paraId="7F444EA6" w14:textId="77777777" w:rsidR="00537585" w:rsidRDefault="00537585" w:rsidP="00F62FCD">
      <w:pPr>
        <w:pStyle w:val="Bulletlist"/>
        <w:numPr>
          <w:ilvl w:val="0"/>
          <w:numId w:val="0"/>
        </w:numPr>
        <w:ind w:left="340" w:hanging="340"/>
      </w:pPr>
    </w:p>
    <w:p w14:paraId="7A8A2870" w14:textId="42C3835F" w:rsidR="00F62FCD" w:rsidRDefault="00B16A5B" w:rsidP="00537585">
      <w:r>
        <w:t xml:space="preserve">Other </w:t>
      </w:r>
      <w:r w:rsidR="00537585">
        <w:t xml:space="preserve">ways participants suggested </w:t>
      </w:r>
      <w:r w:rsidR="00FC4489">
        <w:t>DSS</w:t>
      </w:r>
      <w:r w:rsidR="00537585">
        <w:t xml:space="preserve"> could support successful grantees include</w:t>
      </w:r>
      <w:r>
        <w:t xml:space="preserve">: </w:t>
      </w:r>
    </w:p>
    <w:p w14:paraId="213E3B50" w14:textId="095E6192" w:rsidR="00B16A5B" w:rsidRDefault="009F45E6" w:rsidP="00B16A5B">
      <w:pPr>
        <w:pStyle w:val="Bulletlist"/>
      </w:pPr>
      <w:r>
        <w:t>funding and enabling training for staff, including capacity building around trauma-informed service delivery</w:t>
      </w:r>
    </w:p>
    <w:p w14:paraId="6B7631D2" w14:textId="04D1C322" w:rsidR="00B16A5B" w:rsidRDefault="009F45E6" w:rsidP="00B16A5B">
      <w:pPr>
        <w:pStyle w:val="Bulletlist"/>
      </w:pPr>
      <w:r>
        <w:t>providing connections to partners, such as builders or designers</w:t>
      </w:r>
    </w:p>
    <w:p w14:paraId="30622340" w14:textId="7E379F74" w:rsidR="00B16A5B" w:rsidRDefault="009F45E6" w:rsidP="00B16A5B">
      <w:pPr>
        <w:pStyle w:val="Bulletlist"/>
      </w:pPr>
      <w:r>
        <w:t>allowing grantees autonomy in choosing which contractors to work with</w:t>
      </w:r>
    </w:p>
    <w:p w14:paraId="214625BA" w14:textId="40854C53" w:rsidR="00E17389" w:rsidRDefault="00FF6EED" w:rsidP="00E17389">
      <w:pPr>
        <w:pStyle w:val="Bulletlist"/>
      </w:pPr>
      <w:r>
        <w:t xml:space="preserve">providing </w:t>
      </w:r>
      <w:r w:rsidR="009F45E6" w:rsidRPr="00FF6EED">
        <w:t>add</w:t>
      </w:r>
      <w:r w:rsidR="00C4216A" w:rsidRPr="00FF6EED">
        <w:t>it</w:t>
      </w:r>
      <w:r w:rsidR="00C4216A">
        <w:t>ional s</w:t>
      </w:r>
      <w:r w:rsidR="00B16A5B">
        <w:t xml:space="preserve">upport </w:t>
      </w:r>
      <w:r w:rsidR="00C4216A">
        <w:t xml:space="preserve">or funding </w:t>
      </w:r>
      <w:r>
        <w:t>during</w:t>
      </w:r>
      <w:r w:rsidR="00C4216A">
        <w:t xml:space="preserve"> the</w:t>
      </w:r>
      <w:r w:rsidR="00B16A5B">
        <w:t xml:space="preserve"> transition period</w:t>
      </w:r>
      <w:r w:rsidR="00E17389">
        <w:t xml:space="preserve">, </w:t>
      </w:r>
      <w:r>
        <w:t>at</w:t>
      </w:r>
      <w:r w:rsidR="00E17389">
        <w:t xml:space="preserve"> the beginning stages of the grant funding.</w:t>
      </w:r>
    </w:p>
    <w:p w14:paraId="539FDA83" w14:textId="54CDD07C" w:rsidR="00C4216A" w:rsidRDefault="00AF7EEB" w:rsidP="00E17389">
      <w:pPr>
        <w:pStyle w:val="QuoteSmall"/>
      </w:pPr>
      <w:r>
        <w:t>‘</w:t>
      </w:r>
      <w:r w:rsidR="00C4216A">
        <w:t>A</w:t>
      </w:r>
      <w:r w:rsidR="00C4216A" w:rsidRPr="00C4216A">
        <w:t>dditional supports [are] needed for the transition period</w:t>
      </w:r>
      <w:r w:rsidR="00C4216A">
        <w:t>, for example,</w:t>
      </w:r>
      <w:r w:rsidR="00C4216A" w:rsidRPr="00C4216A">
        <w:t xml:space="preserve"> assistance with communication, set</w:t>
      </w:r>
      <w:r w:rsidR="000A74E9">
        <w:t>-</w:t>
      </w:r>
      <w:r w:rsidR="00C4216A" w:rsidRPr="00C4216A">
        <w:t xml:space="preserve">up costs </w:t>
      </w:r>
      <w:r w:rsidR="00315BEC" w:rsidRPr="00C4216A">
        <w:t>etc.</w:t>
      </w:r>
      <w:r w:rsidR="00C4216A" w:rsidRPr="00C4216A">
        <w:t xml:space="preserve"> for small organisations</w:t>
      </w:r>
      <w:r>
        <w:t>.’</w:t>
      </w:r>
      <w:r w:rsidR="00C4216A">
        <w:t xml:space="preserve"> (Stakeholder, CALD, Urban) </w:t>
      </w:r>
    </w:p>
    <w:p w14:paraId="368EAE2E" w14:textId="77777777" w:rsidR="00C4216A" w:rsidRDefault="00C4216A" w:rsidP="00684707">
      <w:pPr>
        <w:pStyle w:val="QuoteSmall"/>
      </w:pPr>
    </w:p>
    <w:p w14:paraId="1ABCE558" w14:textId="623963B6" w:rsidR="00684707" w:rsidRDefault="00AF7EEB" w:rsidP="00684707">
      <w:pPr>
        <w:pStyle w:val="QuoteSmall"/>
      </w:pPr>
      <w:r>
        <w:t>‘</w:t>
      </w:r>
      <w:r w:rsidR="00684707" w:rsidRPr="00684707">
        <w:t>I think with other grants in the past they’ve stipulated that if you do get</w:t>
      </w:r>
      <w:r w:rsidR="002D744E">
        <w:rPr>
          <w:lang w:eastAsia="en-AU"/>
        </w:rPr>
        <w:t xml:space="preserve"> … </w:t>
      </w:r>
      <w:r w:rsidR="00684707" w:rsidRPr="00684707">
        <w:t xml:space="preserve">funding you’re forced to use a particular builder because the property’s </w:t>
      </w:r>
      <w:r w:rsidR="00B63404">
        <w:t xml:space="preserve">[going to be owned by] </w:t>
      </w:r>
      <w:r w:rsidR="00684707" w:rsidRPr="00684707">
        <w:t xml:space="preserve">a government department and the Department of Infrastructure then that has to build. I think they should </w:t>
      </w:r>
      <w:r w:rsidR="00684707" w:rsidRPr="00684707">
        <w:lastRenderedPageBreak/>
        <w:t>give organisations autonomy on who they choose to build because in these particular parts of the world private builders are more reliable than the actual government</w:t>
      </w:r>
      <w:r>
        <w:t>.’</w:t>
      </w:r>
      <w:r w:rsidR="00684707">
        <w:t xml:space="preserve"> (Stakeholder, First Nations, Regional/Remote) </w:t>
      </w:r>
    </w:p>
    <w:p w14:paraId="5BB71125" w14:textId="77777777" w:rsidR="001970DC" w:rsidRDefault="001970DC" w:rsidP="00CA35AA">
      <w:pPr>
        <w:pStyle w:val="Bulletlist"/>
        <w:numPr>
          <w:ilvl w:val="0"/>
          <w:numId w:val="0"/>
        </w:numPr>
      </w:pPr>
    </w:p>
    <w:p w14:paraId="1919B0C7" w14:textId="77777777" w:rsidR="00B16A5B" w:rsidRDefault="009747D4" w:rsidP="009747D4">
      <w:pPr>
        <w:pStyle w:val="Heading3"/>
      </w:pPr>
      <w:r>
        <w:t>Barriers and opportunities for smaller organisations and those servicing regional and remote areas</w:t>
      </w:r>
    </w:p>
    <w:p w14:paraId="099F9132" w14:textId="422DA7A2" w:rsidR="009747D4" w:rsidRPr="00FD67DB" w:rsidRDefault="009747D4" w:rsidP="009747D4">
      <w:pPr>
        <w:rPr>
          <w:b/>
          <w:bCs/>
        </w:rPr>
      </w:pPr>
      <w:r>
        <w:t xml:space="preserve">Smaller organisations, and those servicing regional and remote areas, face particular challenges and opportunities when applying for grants, </w:t>
      </w:r>
      <w:r w:rsidR="00B8466E">
        <w:t>as well as</w:t>
      </w:r>
      <w:r>
        <w:t xml:space="preserve"> implementing projects that have been successfully awarded. </w:t>
      </w:r>
      <w:r w:rsidR="001970DC" w:rsidRPr="00FD67DB">
        <w:rPr>
          <w:b/>
          <w:bCs/>
        </w:rPr>
        <w:t xml:space="preserve">The most common challenges for regional and remote organisations cited by focus group participants include the cost of construction, supply of building materials, workforce shortages, and as a result, the time it takes for planning and development.  </w:t>
      </w:r>
    </w:p>
    <w:p w14:paraId="4991E8E8" w14:textId="4753A8E0" w:rsidR="001970DC" w:rsidRDefault="00AF7EEB" w:rsidP="007B14F7">
      <w:pPr>
        <w:pStyle w:val="QuoteSmall"/>
      </w:pPr>
      <w:r>
        <w:t>‘</w:t>
      </w:r>
      <w:r w:rsidR="007B14F7">
        <w:t>S</w:t>
      </w:r>
      <w:r w:rsidR="007B14F7" w:rsidRPr="007B14F7">
        <w:t>ay it was $100,000 for something to be built in the city, that could actually cost $200,000 in a remote area because of the extra costs involved</w:t>
      </w:r>
      <w:r>
        <w:t>.’</w:t>
      </w:r>
      <w:r w:rsidR="007B14F7">
        <w:t xml:space="preserve"> (Stakeholder, First Nations, Regional/Remote) </w:t>
      </w:r>
    </w:p>
    <w:p w14:paraId="7DA0D987" w14:textId="77777777" w:rsidR="007A3BA7" w:rsidRDefault="007A3BA7" w:rsidP="007B14F7">
      <w:pPr>
        <w:pStyle w:val="QuoteSmall"/>
      </w:pPr>
    </w:p>
    <w:p w14:paraId="1EC61AAA" w14:textId="546A91E7" w:rsidR="007A3BA7" w:rsidRDefault="00AF7EEB" w:rsidP="007B14F7">
      <w:pPr>
        <w:pStyle w:val="QuoteSmall"/>
      </w:pPr>
      <w:r>
        <w:t>‘</w:t>
      </w:r>
      <w:r w:rsidR="007A3BA7">
        <w:t>T</w:t>
      </w:r>
      <w:r w:rsidR="007A3BA7" w:rsidRPr="007A3BA7">
        <w:t xml:space="preserve">here are big skills shortages </w:t>
      </w:r>
      <w:r w:rsidR="007A3BA7">
        <w:t>[here]…</w:t>
      </w:r>
      <w:r w:rsidR="007A3BA7" w:rsidRPr="007A3BA7">
        <w:t>so projects generally will take longer</w:t>
      </w:r>
      <w:r w:rsidR="002D744E">
        <w:rPr>
          <w:lang w:eastAsia="en-AU"/>
        </w:rPr>
        <w:t xml:space="preserve"> … </w:t>
      </w:r>
      <w:r w:rsidR="007A3BA7" w:rsidRPr="007A3BA7">
        <w:t>some government projects</w:t>
      </w:r>
      <w:r w:rsidR="00814F64">
        <w:t xml:space="preserve"> </w:t>
      </w:r>
      <w:r w:rsidR="007A3BA7" w:rsidRPr="007A3BA7">
        <w:t>…</w:t>
      </w:r>
      <w:r w:rsidR="00814F64">
        <w:t xml:space="preserve"> </w:t>
      </w:r>
      <w:r w:rsidR="007A3BA7" w:rsidRPr="007A3BA7">
        <w:t>bring people in from interstate. But you have to book ahead</w:t>
      </w:r>
      <w:r>
        <w:t>.’</w:t>
      </w:r>
      <w:r w:rsidR="007A3BA7">
        <w:t xml:space="preserve"> (Stakeholder, CALD, Regional/Remote) </w:t>
      </w:r>
    </w:p>
    <w:p w14:paraId="30F9A0BC" w14:textId="77777777" w:rsidR="007B14F7" w:rsidRDefault="007B14F7" w:rsidP="009747D4"/>
    <w:p w14:paraId="73980FE1" w14:textId="77777777" w:rsidR="001970DC" w:rsidRDefault="001970DC" w:rsidP="009747D4">
      <w:r>
        <w:t xml:space="preserve">Other challenges facing organisations in regional and remote areas include: </w:t>
      </w:r>
    </w:p>
    <w:p w14:paraId="2BA624CC" w14:textId="153101BB" w:rsidR="001970DC" w:rsidRDefault="00772546" w:rsidP="001970DC">
      <w:pPr>
        <w:pStyle w:val="Bulletlist"/>
      </w:pPr>
      <w:r>
        <w:t>a shortage of viable or appropriate land for development</w:t>
      </w:r>
    </w:p>
    <w:p w14:paraId="1FDE7BE8" w14:textId="6C7C3F0C" w:rsidR="001970DC" w:rsidRDefault="00772546" w:rsidP="001970DC">
      <w:pPr>
        <w:pStyle w:val="Bulletlist"/>
      </w:pPr>
      <w:r w:rsidRPr="00FF6EED">
        <w:t>a</w:t>
      </w:r>
      <w:r w:rsidR="001970DC" w:rsidRPr="00FF6EED">
        <w:t xml:space="preserve"> lack of services generally </w:t>
      </w:r>
      <w:r w:rsidR="00FF6EED">
        <w:t>(</w:t>
      </w:r>
      <w:r w:rsidR="001970DC" w:rsidRPr="00FF6EED">
        <w:t>including housing, transport and health services</w:t>
      </w:r>
      <w:r w:rsidR="00FF6EED">
        <w:t>)</w:t>
      </w:r>
      <w:r w:rsidR="001970DC" w:rsidRPr="00FF6EED">
        <w:t>, which create</w:t>
      </w:r>
      <w:r w:rsidR="00FF6EED">
        <w:t>s</w:t>
      </w:r>
      <w:r w:rsidR="001970DC">
        <w:t xml:space="preserve"> compounding issues for women and children experiencing domestic violence, and the organisations </w:t>
      </w:r>
      <w:r>
        <w:t>that</w:t>
      </w:r>
      <w:r w:rsidR="001970DC">
        <w:t xml:space="preserve"> support them. </w:t>
      </w:r>
    </w:p>
    <w:p w14:paraId="354425EF" w14:textId="085FB5B8" w:rsidR="001970DC" w:rsidRDefault="00AF7EEB" w:rsidP="001970DC">
      <w:pPr>
        <w:pStyle w:val="QuoteSmall"/>
      </w:pPr>
      <w:r>
        <w:t>‘</w:t>
      </w:r>
      <w:r w:rsidR="001970DC" w:rsidRPr="001970DC">
        <w:t>Here</w:t>
      </w:r>
      <w:r w:rsidR="00387540">
        <w:t xml:space="preserve"> </w:t>
      </w:r>
      <w:r w:rsidR="001970DC">
        <w:t>…</w:t>
      </w:r>
      <w:r w:rsidR="00387540">
        <w:t xml:space="preserve"> </w:t>
      </w:r>
      <w:r w:rsidR="001970DC" w:rsidRPr="001970DC">
        <w:t>there is a vastness of land surrounding us, but much of the land is Crown land, so we cannot apply for that land</w:t>
      </w:r>
      <w:r w:rsidR="002D744E">
        <w:rPr>
          <w:lang w:eastAsia="en-AU"/>
        </w:rPr>
        <w:t xml:space="preserve"> … </w:t>
      </w:r>
      <w:r w:rsidR="007F307C">
        <w:t>I</w:t>
      </w:r>
      <w:r w:rsidR="001970DC" w:rsidRPr="001970DC">
        <w:t>t will be very difficult unless the government release some land, or the organisation can repurpose an existing structure</w:t>
      </w:r>
      <w:r>
        <w:t>.’</w:t>
      </w:r>
      <w:r w:rsidR="001970DC">
        <w:t xml:space="preserve"> (Stakeholder, CALD, Regional/Remote) </w:t>
      </w:r>
    </w:p>
    <w:p w14:paraId="12701393" w14:textId="77777777" w:rsidR="001970DC" w:rsidRDefault="001970DC" w:rsidP="009747D4"/>
    <w:p w14:paraId="70ABA865" w14:textId="2E19506C" w:rsidR="00D51EDF" w:rsidRDefault="009A0D86" w:rsidP="00BE2DB8">
      <w:r>
        <w:t>On the other hand, if there is land available to build</w:t>
      </w:r>
      <w:r w:rsidR="00721881">
        <w:t xml:space="preserve"> on</w:t>
      </w:r>
      <w:r>
        <w:t xml:space="preserve">, one focus group participant stated this can be an opportunity for organisations in regional and remote areas, as it allows for buildings to grow organically to meet the needs of the community, which may not be possible in urban centres. </w:t>
      </w:r>
    </w:p>
    <w:p w14:paraId="04681B2A" w14:textId="716FA85A" w:rsidR="00FD67DB" w:rsidRDefault="00FD67DB" w:rsidP="00BE2DB8">
      <w:r w:rsidRPr="00FD67DB">
        <w:rPr>
          <w:b/>
          <w:bCs/>
        </w:rPr>
        <w:lastRenderedPageBreak/>
        <w:t xml:space="preserve">Participants </w:t>
      </w:r>
      <w:r w:rsidR="008977EA">
        <w:rPr>
          <w:b/>
          <w:bCs/>
        </w:rPr>
        <w:t xml:space="preserve">across the groups </w:t>
      </w:r>
      <w:r w:rsidRPr="00FD67DB">
        <w:rPr>
          <w:b/>
          <w:bCs/>
        </w:rPr>
        <w:t>cited similar challenges faced by smaller organisations in terms of resources and funding</w:t>
      </w:r>
      <w:r w:rsidR="008977EA">
        <w:rPr>
          <w:b/>
          <w:bCs/>
        </w:rPr>
        <w:t>, such as a</w:t>
      </w:r>
      <w:r w:rsidR="00FF78C9" w:rsidRPr="00FD67DB">
        <w:rPr>
          <w:b/>
          <w:bCs/>
        </w:rPr>
        <w:t xml:space="preserve"> lack of time and expertise within the team to not only manage projects but </w:t>
      </w:r>
      <w:r w:rsidR="00FF78C9" w:rsidRPr="008977EA">
        <w:rPr>
          <w:b/>
          <w:bCs/>
        </w:rPr>
        <w:t>also apply for gra</w:t>
      </w:r>
      <w:r w:rsidR="00FF78C9" w:rsidRPr="00FD67DB">
        <w:rPr>
          <w:b/>
          <w:bCs/>
        </w:rPr>
        <w:t>nts</w:t>
      </w:r>
      <w:r w:rsidR="00FF78C9">
        <w:t xml:space="preserve">. </w:t>
      </w:r>
    </w:p>
    <w:p w14:paraId="28E6C019" w14:textId="3FBEE8E8" w:rsidR="00FD67DB" w:rsidRDefault="00AF7EEB" w:rsidP="00FD67DB">
      <w:pPr>
        <w:pStyle w:val="QuoteSmall"/>
      </w:pPr>
      <w:r>
        <w:t>‘</w:t>
      </w:r>
      <w:r w:rsidR="00FD67DB" w:rsidRPr="00FF78C9">
        <w:t>I think the challenge for a small organisation is just the funding, everyone knows tha</w:t>
      </w:r>
      <w:r w:rsidR="00FD67DB">
        <w:t>t</w:t>
      </w:r>
      <w:r w:rsidR="002D744E">
        <w:rPr>
          <w:lang w:eastAsia="en-AU"/>
        </w:rPr>
        <w:t xml:space="preserve"> … </w:t>
      </w:r>
      <w:r w:rsidR="00FD67DB">
        <w:t xml:space="preserve">[and] </w:t>
      </w:r>
      <w:r w:rsidR="00FD67DB" w:rsidRPr="00FF78C9">
        <w:t>staff capacity, how to keep staff there</w:t>
      </w:r>
      <w:r>
        <w:t>.’</w:t>
      </w:r>
      <w:r w:rsidR="00FD67DB">
        <w:t xml:space="preserve"> (Stakeholder, Disability, Urban) </w:t>
      </w:r>
    </w:p>
    <w:p w14:paraId="37644E82" w14:textId="77777777" w:rsidR="00FD67DB" w:rsidRDefault="00FD67DB" w:rsidP="00BE2DB8"/>
    <w:p w14:paraId="1E249963" w14:textId="639A7F6D" w:rsidR="00FF78C9" w:rsidRPr="00FD67DB" w:rsidRDefault="00FF78C9" w:rsidP="00BE2DB8">
      <w:pPr>
        <w:rPr>
          <w:b/>
          <w:bCs/>
        </w:rPr>
      </w:pPr>
      <w:r>
        <w:t xml:space="preserve">However, participants also raised </w:t>
      </w:r>
      <w:r w:rsidR="008977EA">
        <w:rPr>
          <w:b/>
          <w:bCs/>
        </w:rPr>
        <w:t>some</w:t>
      </w:r>
      <w:r w:rsidRPr="00FD67DB">
        <w:rPr>
          <w:b/>
          <w:bCs/>
        </w:rPr>
        <w:t xml:space="preserve"> opportunities that come with being a smaller organisation, which can be an advantage</w:t>
      </w:r>
      <w:r>
        <w:t xml:space="preserve"> in delivering a project such as the Safe Places Inclusion Round. While smaller organisations may not have the breadth of expertise and in-house speciality that some large mainstream </w:t>
      </w:r>
      <w:r w:rsidR="00F64FEE">
        <w:t>organisations</w:t>
      </w:r>
      <w:r>
        <w:t xml:space="preserve"> have, they generally have specialist expertise in a particular area</w:t>
      </w:r>
      <w:r w:rsidR="00F64FEE">
        <w:t>, such as how to engage appropriately with certain cohorts</w:t>
      </w:r>
      <w:r>
        <w:t>. Further, strong partnerships with organisations</w:t>
      </w:r>
      <w:r w:rsidR="005D0EED">
        <w:t xml:space="preserve"> </w:t>
      </w:r>
      <w:r w:rsidR="00721881">
        <w:t xml:space="preserve">that </w:t>
      </w:r>
      <w:r w:rsidR="005D0EED">
        <w:t>have expertise in other areas</w:t>
      </w:r>
      <w:r>
        <w:t xml:space="preserve"> </w:t>
      </w:r>
      <w:r w:rsidR="005D0EED">
        <w:t xml:space="preserve">can help bridge that gap. </w:t>
      </w:r>
    </w:p>
    <w:p w14:paraId="7D1D1B5D" w14:textId="51D0412F" w:rsidR="005463B1" w:rsidRDefault="00AF7EEB" w:rsidP="005463B1">
      <w:pPr>
        <w:pStyle w:val="QuoteSmall"/>
      </w:pPr>
      <w:r>
        <w:t>‘</w:t>
      </w:r>
      <w:r w:rsidR="005463B1">
        <w:t>A</w:t>
      </w:r>
      <w:r w:rsidR="005463B1" w:rsidRPr="005463B1">
        <w:t>s a specialist DV service that works with women and children</w:t>
      </w:r>
      <w:r w:rsidR="002D744E">
        <w:rPr>
          <w:lang w:eastAsia="en-AU"/>
        </w:rPr>
        <w:t xml:space="preserve"> … </w:t>
      </w:r>
      <w:r w:rsidR="00D70F6B" w:rsidRPr="005463B1">
        <w:t>we</w:t>
      </w:r>
      <w:r w:rsidR="005463B1" w:rsidRPr="005463B1">
        <w:t xml:space="preserve"> have a gendered lens</w:t>
      </w:r>
      <w:r w:rsidR="002D744E">
        <w:rPr>
          <w:lang w:eastAsia="en-AU"/>
        </w:rPr>
        <w:t xml:space="preserve"> … </w:t>
      </w:r>
      <w:r w:rsidR="005463B1">
        <w:t xml:space="preserve">so </w:t>
      </w:r>
      <w:r w:rsidR="005463B1" w:rsidRPr="005463B1">
        <w:t>it’s really important that specialist service response is recognised</w:t>
      </w:r>
      <w:r w:rsidR="002D744E">
        <w:rPr>
          <w:lang w:eastAsia="en-AU"/>
        </w:rPr>
        <w:t xml:space="preserve"> … </w:t>
      </w:r>
      <w:r w:rsidR="005463B1" w:rsidRPr="005463B1">
        <w:t>because we have that nuanced understanding of intersectionality for women</w:t>
      </w:r>
      <w:r w:rsidR="005463B1">
        <w:t xml:space="preserve"> and </w:t>
      </w:r>
      <w:r w:rsidR="005463B1" w:rsidRPr="005463B1">
        <w:t>recognis</w:t>
      </w:r>
      <w:r w:rsidR="005463B1">
        <w:t xml:space="preserve">e </w:t>
      </w:r>
      <w:r w:rsidR="005463B1" w:rsidRPr="005463B1">
        <w:t>we have the relationships with mainstream</w:t>
      </w:r>
      <w:r>
        <w:t>.’</w:t>
      </w:r>
      <w:r w:rsidR="005463B1">
        <w:t xml:space="preserve"> (Stakeholder, CALD, Urban)</w:t>
      </w:r>
    </w:p>
    <w:p w14:paraId="60AFCC06" w14:textId="77777777" w:rsidR="005D0EED" w:rsidRDefault="005D0EED" w:rsidP="005D0EED">
      <w:pPr>
        <w:rPr>
          <w:iCs/>
        </w:rPr>
      </w:pPr>
    </w:p>
    <w:p w14:paraId="5332EB27" w14:textId="3D449D3F" w:rsidR="005D0EED" w:rsidRPr="00847424" w:rsidRDefault="005D0EED" w:rsidP="005D0EED">
      <w:r w:rsidRPr="00FD67DB">
        <w:rPr>
          <w:b/>
          <w:bCs/>
        </w:rPr>
        <w:t xml:space="preserve">Participants spoke about the benefits of smaller organisations having strong connections in </w:t>
      </w:r>
      <w:r w:rsidR="008977EA">
        <w:rPr>
          <w:b/>
          <w:bCs/>
        </w:rPr>
        <w:t xml:space="preserve">the </w:t>
      </w:r>
      <w:r w:rsidRPr="00FD67DB">
        <w:rPr>
          <w:b/>
          <w:bCs/>
        </w:rPr>
        <w:t xml:space="preserve">community, with more trusting relationships. </w:t>
      </w:r>
      <w:r w:rsidR="00847424" w:rsidRPr="008977EA">
        <w:t>When an organisation can provide a longer-term relationship with a woman or child, it creates a sense of stability with the client, increas</w:t>
      </w:r>
      <w:r w:rsidR="008977EA">
        <w:t>ing</w:t>
      </w:r>
      <w:r w:rsidR="00847424" w:rsidRPr="008977EA">
        <w:t xml:space="preserve"> the likelihood </w:t>
      </w:r>
      <w:r w:rsidR="008977EA">
        <w:t xml:space="preserve">of </w:t>
      </w:r>
      <w:r w:rsidR="00847424" w:rsidRPr="008977EA">
        <w:t>meet</w:t>
      </w:r>
      <w:r w:rsidR="008977EA">
        <w:t>ing</w:t>
      </w:r>
      <w:r w:rsidR="00847424" w:rsidRPr="008977EA">
        <w:t xml:space="preserve"> their needs.</w:t>
      </w:r>
      <w:r w:rsidR="00847424">
        <w:t xml:space="preserve"> </w:t>
      </w:r>
    </w:p>
    <w:p w14:paraId="6374235D" w14:textId="0C513F33" w:rsidR="00ED05E4" w:rsidRDefault="00AF7EEB" w:rsidP="00ED05E4">
      <w:pPr>
        <w:pStyle w:val="QuoteSmall"/>
      </w:pPr>
      <w:r>
        <w:t>‘</w:t>
      </w:r>
      <w:r w:rsidR="00ED05E4">
        <w:t xml:space="preserve">[This grant is] </w:t>
      </w:r>
      <w:r w:rsidR="00ED05E4" w:rsidRPr="00ED05E4">
        <w:t>an opportunity for smaller services to grow and provide a really strong response</w:t>
      </w:r>
      <w:r w:rsidR="002D744E">
        <w:rPr>
          <w:lang w:eastAsia="en-AU"/>
        </w:rPr>
        <w:t xml:space="preserve"> … </w:t>
      </w:r>
      <w:r w:rsidR="00ED05E4" w:rsidRPr="00ED05E4">
        <w:t>we can work with women for up to 2</w:t>
      </w:r>
      <w:r w:rsidR="007F307C" w:rsidRPr="007F307C">
        <w:t>–</w:t>
      </w:r>
      <w:r w:rsidR="00ED05E4" w:rsidRPr="00ED05E4">
        <w:t>3 years if [needed] to provide that stability, [so] that it’s not jumping around lots of different service</w:t>
      </w:r>
      <w:r w:rsidR="00ED05E4">
        <w:t>s</w:t>
      </w:r>
      <w:r>
        <w:t>.’</w:t>
      </w:r>
      <w:r w:rsidR="00ED05E4">
        <w:t xml:space="preserve"> (Stakeholder, CALD, Urban)</w:t>
      </w:r>
    </w:p>
    <w:p w14:paraId="797D8BB6" w14:textId="77777777" w:rsidR="00ED05E4" w:rsidRDefault="00ED05E4" w:rsidP="00ED05E4">
      <w:pPr>
        <w:pStyle w:val="QuoteSmall"/>
      </w:pPr>
    </w:p>
    <w:p w14:paraId="6065B8A8" w14:textId="1382FC73" w:rsidR="00ED05E4" w:rsidRPr="00ED05E4" w:rsidRDefault="00AF7EEB" w:rsidP="00ED05E4">
      <w:pPr>
        <w:pStyle w:val="QuoteSmall"/>
      </w:pPr>
      <w:r>
        <w:t>‘</w:t>
      </w:r>
      <w:r w:rsidR="00ED05E4">
        <w:t>S</w:t>
      </w:r>
      <w:r w:rsidR="00ED05E4" w:rsidRPr="00ED05E4">
        <w:t>ome of the smaller organi</w:t>
      </w:r>
      <w:r w:rsidR="007F307C">
        <w:t>s</w:t>
      </w:r>
      <w:r w:rsidR="00ED05E4" w:rsidRPr="00ED05E4">
        <w:t>ations</w:t>
      </w:r>
      <w:r w:rsidR="002D744E">
        <w:rPr>
          <w:lang w:eastAsia="en-AU"/>
        </w:rPr>
        <w:t xml:space="preserve"> … </w:t>
      </w:r>
      <w:r w:rsidR="00ED05E4" w:rsidRPr="00ED05E4">
        <w:t>have standing and status and reputation in the community</w:t>
      </w:r>
      <w:r w:rsidR="00ED05E4">
        <w:t xml:space="preserve">… </w:t>
      </w:r>
      <w:r w:rsidR="007F307C">
        <w:t>T</w:t>
      </w:r>
      <w:r w:rsidR="00ED05E4" w:rsidRPr="00ED05E4">
        <w:t>here's a comfort in that because they know the name and they know the brand. Because people in country areas can get a little bit parochial and they see, you know, like a new organi</w:t>
      </w:r>
      <w:r w:rsidR="00217360">
        <w:t>s</w:t>
      </w:r>
      <w:r w:rsidR="00ED05E4" w:rsidRPr="00ED05E4">
        <w:t>ation that comes into town with a bit of scepticism and a bit of hesitancy and engaging in a new organi</w:t>
      </w:r>
      <w:r w:rsidR="00217360">
        <w:t>s</w:t>
      </w:r>
      <w:r w:rsidR="00ED05E4" w:rsidRPr="00ED05E4">
        <w:t>ation</w:t>
      </w:r>
      <w:r>
        <w:t>.’</w:t>
      </w:r>
      <w:r w:rsidR="00ED05E4">
        <w:t xml:space="preserve"> (Stakeholder, Disability, Regional/Remote) </w:t>
      </w:r>
    </w:p>
    <w:p w14:paraId="3969E278" w14:textId="6F37AB16" w:rsidR="007A75C7" w:rsidRDefault="006C77F1" w:rsidP="007A75C7">
      <w:pPr>
        <w:pStyle w:val="Heading1"/>
      </w:pPr>
      <w:bookmarkStart w:id="30" w:name="_Toc147910407"/>
      <w:r>
        <w:lastRenderedPageBreak/>
        <w:t xml:space="preserve">Key </w:t>
      </w:r>
      <w:r w:rsidR="003D4F60">
        <w:t>themes for</w:t>
      </w:r>
      <w:r w:rsidR="00D81ECE">
        <w:t xml:space="preserve"> the Safe Places Inclusion </w:t>
      </w:r>
      <w:r w:rsidR="002821E9">
        <w:t>R</w:t>
      </w:r>
      <w:r w:rsidR="00D81ECE">
        <w:t>ound</w:t>
      </w:r>
      <w:bookmarkEnd w:id="30"/>
    </w:p>
    <w:p w14:paraId="2E21DC7A" w14:textId="1AAA9B46" w:rsidR="007A75C7" w:rsidRDefault="00EE6F7C" w:rsidP="002B5670">
      <w:pPr>
        <w:pStyle w:val="Heading2"/>
      </w:pPr>
      <w:bookmarkStart w:id="31" w:name="_Toc147910408"/>
      <w:r>
        <w:t>Overall themes</w:t>
      </w:r>
      <w:bookmarkEnd w:id="31"/>
    </w:p>
    <w:p w14:paraId="3748FFEF" w14:textId="267F9318" w:rsidR="007C3307" w:rsidRDefault="00E12F01" w:rsidP="005E08F5">
      <w:r>
        <w:t>I</w:t>
      </w:r>
      <w:r w:rsidR="005E08F5" w:rsidRPr="00E12F01">
        <w:t xml:space="preserve">t is clear from </w:t>
      </w:r>
      <w:r w:rsidR="00A8113F" w:rsidRPr="00E12F01">
        <w:t xml:space="preserve">the consultations with sector stakeholders </w:t>
      </w:r>
      <w:r w:rsidR="00892562" w:rsidRPr="00E12F01">
        <w:t xml:space="preserve">that </w:t>
      </w:r>
      <w:r w:rsidR="00FF64F7" w:rsidRPr="00E12F01">
        <w:t xml:space="preserve">the </w:t>
      </w:r>
      <w:r w:rsidR="00017A05" w:rsidRPr="00E12F01">
        <w:t xml:space="preserve">overall </w:t>
      </w:r>
      <w:r w:rsidR="00FF64F7" w:rsidRPr="00E12F01">
        <w:t xml:space="preserve">needs </w:t>
      </w:r>
      <w:r>
        <w:t>of</w:t>
      </w:r>
      <w:r w:rsidR="00FF64F7" w:rsidRPr="00E12F01">
        <w:t xml:space="preserve"> women</w:t>
      </w:r>
      <w:r w:rsidR="00FF64F7">
        <w:t xml:space="preserve"> and children accessing emergency accommodation</w:t>
      </w:r>
      <w:r w:rsidR="00E103B0">
        <w:t xml:space="preserve"> are determined by</w:t>
      </w:r>
      <w:r w:rsidR="00E103B0" w:rsidRPr="00E103B0">
        <w:t xml:space="preserve"> </w:t>
      </w:r>
      <w:r w:rsidR="00E103B0">
        <w:t xml:space="preserve">their communities, </w:t>
      </w:r>
      <w:r>
        <w:t xml:space="preserve">their </w:t>
      </w:r>
      <w:r w:rsidR="00E103B0">
        <w:t>individual cultures and backgrounds, and personal preferences</w:t>
      </w:r>
      <w:r w:rsidR="00FF64F7">
        <w:t xml:space="preserve">. </w:t>
      </w:r>
      <w:r>
        <w:t>O</w:t>
      </w:r>
      <w:r w:rsidR="00A8113F">
        <w:t>rganisations and communities are at different stages of readiness to be able to apply for a grant of this type</w:t>
      </w:r>
      <w:r w:rsidR="00A8113F" w:rsidRPr="000D0AD8">
        <w:t xml:space="preserve">. </w:t>
      </w:r>
      <w:r w:rsidR="007C3307" w:rsidRPr="00EA5E74">
        <w:t xml:space="preserve">Core themes </w:t>
      </w:r>
      <w:r w:rsidR="00AE6432">
        <w:t xml:space="preserve">that emerged for the </w:t>
      </w:r>
      <w:r w:rsidR="007C3307">
        <w:t xml:space="preserve">Inclusion Round </w:t>
      </w:r>
      <w:r w:rsidR="00BC02CA">
        <w:t xml:space="preserve">were that it </w:t>
      </w:r>
      <w:r w:rsidR="007C3307">
        <w:t xml:space="preserve">should:  </w:t>
      </w:r>
    </w:p>
    <w:p w14:paraId="6F78D7B0" w14:textId="72F64B74" w:rsidR="00A8113F" w:rsidRDefault="0044035B" w:rsidP="00131E3C">
      <w:pPr>
        <w:pStyle w:val="Bulletlist"/>
      </w:pPr>
      <w:r>
        <w:t xml:space="preserve">fund </w:t>
      </w:r>
      <w:r w:rsidR="00246731">
        <w:t>the building of emergency accommodation that reflect</w:t>
      </w:r>
      <w:r w:rsidR="00982A4F">
        <w:t>s</w:t>
      </w:r>
      <w:r w:rsidR="00246731">
        <w:t xml:space="preserve"> the unique needs of the women and children in </w:t>
      </w:r>
      <w:r w:rsidR="00A8113F">
        <w:t>each appl</w:t>
      </w:r>
      <w:r w:rsidR="00A8113F" w:rsidRPr="007C3307">
        <w:t>icant</w:t>
      </w:r>
      <w:r w:rsidR="00167256" w:rsidRPr="007C3307">
        <w:t xml:space="preserve"> or </w:t>
      </w:r>
      <w:r w:rsidR="00A8113F" w:rsidRPr="007C3307">
        <w:t>grantee’s</w:t>
      </w:r>
      <w:r w:rsidR="00246731" w:rsidRPr="007C3307">
        <w:t xml:space="preserve"> co</w:t>
      </w:r>
      <w:r w:rsidR="00246731">
        <w:t>mmunity</w:t>
      </w:r>
    </w:p>
    <w:p w14:paraId="09F75D79" w14:textId="6DB98F82" w:rsidR="00562675" w:rsidRDefault="0044035B" w:rsidP="00131E3C">
      <w:pPr>
        <w:pStyle w:val="Bulletlist"/>
      </w:pPr>
      <w:r>
        <w:t>require</w:t>
      </w:r>
      <w:r w:rsidRPr="00562675">
        <w:t xml:space="preserve"> </w:t>
      </w:r>
      <w:r w:rsidR="00562675" w:rsidRPr="00562675">
        <w:t>grant applicants and grantees to consult further with community and with clients</w:t>
      </w:r>
      <w:r w:rsidR="00562675">
        <w:t>, to understand their</w:t>
      </w:r>
      <w:r w:rsidR="00B31A8B">
        <w:t xml:space="preserve"> particular</w:t>
      </w:r>
      <w:r w:rsidR="00562675">
        <w:t xml:space="preserve"> needs</w:t>
      </w:r>
      <w:r w:rsidR="00AD0A47">
        <w:t>, and to document in their application the enablers and barriers to each of the three cohorts accessing the accommodation they propose</w:t>
      </w:r>
    </w:p>
    <w:p w14:paraId="71C99909" w14:textId="04D05FC3" w:rsidR="00A8113F" w:rsidRDefault="0044035B" w:rsidP="00131E3C">
      <w:pPr>
        <w:pStyle w:val="Bulletlist"/>
      </w:pPr>
      <w:r>
        <w:t xml:space="preserve">fund </w:t>
      </w:r>
      <w:r w:rsidR="00A8113F">
        <w:t xml:space="preserve">the development of emergency accommodation that </w:t>
      </w:r>
      <w:r w:rsidR="00167256">
        <w:t>allows</w:t>
      </w:r>
      <w:r w:rsidR="00A8113F">
        <w:t xml:space="preserve"> women and children </w:t>
      </w:r>
      <w:r w:rsidR="00167256">
        <w:t xml:space="preserve">some </w:t>
      </w:r>
      <w:r w:rsidR="00A8113F">
        <w:t>choice and control in how they live, access services and are supported</w:t>
      </w:r>
    </w:p>
    <w:p w14:paraId="5E00E34E" w14:textId="48F67B87" w:rsidR="00A8113F" w:rsidRDefault="0044035B" w:rsidP="00131E3C">
      <w:pPr>
        <w:pStyle w:val="Bulletlist"/>
      </w:pPr>
      <w:r>
        <w:t xml:space="preserve">fund </w:t>
      </w:r>
      <w:r w:rsidR="00A8113F">
        <w:t>or require the provision of wrap-around services to accompany the building of emergency accommodation</w:t>
      </w:r>
    </w:p>
    <w:p w14:paraId="631D1D0C" w14:textId="0F8E242E" w:rsidR="00246731" w:rsidRDefault="0044035B" w:rsidP="00131E3C">
      <w:pPr>
        <w:pStyle w:val="Bulletlist"/>
      </w:pPr>
      <w:r>
        <w:t xml:space="preserve">enable </w:t>
      </w:r>
      <w:r w:rsidR="00A8113F">
        <w:t>the application of small- and medium-sized organisations to the Inclusion Round</w:t>
      </w:r>
      <w:r w:rsidR="00073B0B">
        <w:t>.</w:t>
      </w:r>
      <w:r w:rsidR="00A8113F">
        <w:t xml:space="preserve"> </w:t>
      </w:r>
    </w:p>
    <w:p w14:paraId="6EF03CE8" w14:textId="464A2091" w:rsidR="00DF6949" w:rsidRPr="00DF6949" w:rsidRDefault="00DF6949" w:rsidP="005E08F5">
      <w:r w:rsidRPr="00DF6949">
        <w:t>Stakeholders</w:t>
      </w:r>
      <w:r>
        <w:t xml:space="preserve"> in each group strongly echoed the </w:t>
      </w:r>
      <w:r w:rsidRPr="00DF6949">
        <w:t xml:space="preserve">need for long-term transitional housing options to be available for </w:t>
      </w:r>
      <w:r>
        <w:t xml:space="preserve">women and children, </w:t>
      </w:r>
      <w:r w:rsidRPr="00DF6949">
        <w:t>aft</w:t>
      </w:r>
      <w:r w:rsidRPr="00167256">
        <w:t>er initial</w:t>
      </w:r>
      <w:r w:rsidRPr="00DF6949">
        <w:t xml:space="preserve"> </w:t>
      </w:r>
      <w:r w:rsidR="00E103B0">
        <w:t>emergency</w:t>
      </w:r>
      <w:r w:rsidRPr="00DF6949">
        <w:t xml:space="preserve"> accommodation</w:t>
      </w:r>
      <w:r>
        <w:t xml:space="preserve">. </w:t>
      </w:r>
      <w:r w:rsidRPr="00167256">
        <w:t xml:space="preserve">While </w:t>
      </w:r>
      <w:r w:rsidR="0051307E">
        <w:t>it is</w:t>
      </w:r>
      <w:r w:rsidR="00901F7E">
        <w:t xml:space="preserve"> recognise</w:t>
      </w:r>
      <w:r w:rsidR="0051307E">
        <w:t>d</w:t>
      </w:r>
      <w:r w:rsidR="00901F7E">
        <w:t xml:space="preserve"> that </w:t>
      </w:r>
      <w:r>
        <w:t xml:space="preserve">the construction of other housing options is not in scope for this grant funding, </w:t>
      </w:r>
      <w:r w:rsidR="0051307E">
        <w:t>there may be opportunities to</w:t>
      </w:r>
      <w:r>
        <w:t xml:space="preserve"> </w:t>
      </w:r>
      <w:r w:rsidRPr="00DF6949">
        <w:t>further deepen</w:t>
      </w:r>
      <w:r>
        <w:t xml:space="preserve"> the</w:t>
      </w:r>
      <w:r w:rsidRPr="00DF6949">
        <w:t xml:space="preserve"> connections between the Inclusion Round</w:t>
      </w:r>
      <w:r w:rsidR="00C56419">
        <w:t xml:space="preserve"> and </w:t>
      </w:r>
      <w:r w:rsidRPr="00DF6949">
        <w:t xml:space="preserve">a </w:t>
      </w:r>
      <w:r w:rsidR="00074A95" w:rsidRPr="00C2547E">
        <w:t>f</w:t>
      </w:r>
      <w:r w:rsidRPr="00DF6949">
        <w:t xml:space="preserve">ederal response to emergency </w:t>
      </w:r>
      <w:r w:rsidR="00017A05" w:rsidRPr="00DF6949">
        <w:t>accommodation</w:t>
      </w:r>
      <w:r w:rsidR="00074A95">
        <w:t>,</w:t>
      </w:r>
      <w:r w:rsidR="00017A05">
        <w:t xml:space="preserve"> and</w:t>
      </w:r>
      <w:r w:rsidR="0051307E">
        <w:t xml:space="preserve"> ultimately</w:t>
      </w:r>
      <w:r w:rsidR="00017A05">
        <w:t xml:space="preserve"> </w:t>
      </w:r>
      <w:r w:rsidR="00B058FD">
        <w:t xml:space="preserve">further </w:t>
      </w:r>
      <w:r w:rsidR="00E103B0">
        <w:t>encourag</w:t>
      </w:r>
      <w:r w:rsidR="0051307E">
        <w:t>e</w:t>
      </w:r>
      <w:r w:rsidRPr="00DF6949">
        <w:t xml:space="preserve"> </w:t>
      </w:r>
      <w:r w:rsidR="00E103B0">
        <w:t xml:space="preserve">a </w:t>
      </w:r>
      <w:r w:rsidR="00074A95">
        <w:t>f</w:t>
      </w:r>
      <w:r w:rsidRPr="00DF6949">
        <w:t>ederal response to other aspects of the housing system, including transitional housing, social housing and more affordable housing</w:t>
      </w:r>
      <w:r w:rsidR="00017A05">
        <w:t xml:space="preserve"> generally</w:t>
      </w:r>
      <w:r>
        <w:t xml:space="preserve">. </w:t>
      </w:r>
    </w:p>
    <w:p w14:paraId="115D9189" w14:textId="633A92D2" w:rsidR="00982A4F" w:rsidRDefault="00982A4F" w:rsidP="005E08F5">
      <w:r>
        <w:t xml:space="preserve">Further detailed </w:t>
      </w:r>
      <w:r w:rsidR="00EE6F7C">
        <w:t xml:space="preserve">themes </w:t>
      </w:r>
      <w:r>
        <w:t>are listed below.</w:t>
      </w:r>
    </w:p>
    <w:p w14:paraId="4DA4F4FC" w14:textId="591F6B0A" w:rsidR="00FA0962" w:rsidRPr="00FA0962" w:rsidRDefault="00EE6F7C" w:rsidP="00C2547E">
      <w:pPr>
        <w:pStyle w:val="Heading2"/>
      </w:pPr>
      <w:bookmarkStart w:id="32" w:name="_Toc147910409"/>
      <w:r>
        <w:t xml:space="preserve">Themes </w:t>
      </w:r>
      <w:r w:rsidR="009069EB">
        <w:t>regarding the physical design, cultural features and location of accommodation</w:t>
      </w:r>
      <w:bookmarkEnd w:id="32"/>
    </w:p>
    <w:p w14:paraId="4C573493" w14:textId="77777777" w:rsidR="00165EB7" w:rsidRDefault="00DF324E" w:rsidP="00165EB7">
      <w:pPr>
        <w:pStyle w:val="Bulletlist"/>
      </w:pPr>
      <w:r>
        <w:t xml:space="preserve">The </w:t>
      </w:r>
      <w:r w:rsidR="00901F7E">
        <w:t>grant opportunity</w:t>
      </w:r>
      <w:r>
        <w:t xml:space="preserve"> should encourage applicant organisations and successful grantees to ensure </w:t>
      </w:r>
      <w:r w:rsidR="009069EB">
        <w:t xml:space="preserve">the </w:t>
      </w:r>
      <w:r>
        <w:t xml:space="preserve">emergency accommodation </w:t>
      </w:r>
      <w:r w:rsidR="00901F7E">
        <w:t xml:space="preserve">they develop </w:t>
      </w:r>
      <w:r>
        <w:t>address</w:t>
      </w:r>
      <w:r w:rsidR="00B31A8B">
        <w:t>es</w:t>
      </w:r>
      <w:r>
        <w:t xml:space="preserve"> the physical and cultural needs of the women and children they will service, including:</w:t>
      </w:r>
    </w:p>
    <w:p w14:paraId="4888BAC0" w14:textId="672F2EF2" w:rsidR="00864B69" w:rsidRPr="00E538BB" w:rsidRDefault="00F02D71" w:rsidP="00E538BB">
      <w:pPr>
        <w:pStyle w:val="2ndlevelbullet"/>
      </w:pPr>
      <w:r>
        <w:lastRenderedPageBreak/>
        <w:t>co</w:t>
      </w:r>
      <w:r w:rsidR="00901F7E">
        <w:t xml:space="preserve">nstruction </w:t>
      </w:r>
      <w:r w:rsidR="00901F7E" w:rsidRPr="00E538BB">
        <w:t>of p</w:t>
      </w:r>
      <w:r w:rsidR="00864B69" w:rsidRPr="00E538BB">
        <w:t>rivate dwellings for individual families, rather than shared living spaces or dormitories</w:t>
      </w:r>
      <w:r w:rsidR="00D73856" w:rsidRPr="00E538BB">
        <w:t>;</w:t>
      </w:r>
      <w:r w:rsidR="00B31A8B" w:rsidRPr="00E538BB">
        <w:t xml:space="preserve"> </w:t>
      </w:r>
      <w:r w:rsidR="00D73856" w:rsidRPr="00E538BB">
        <w:t>h</w:t>
      </w:r>
      <w:r w:rsidR="00B31A8B" w:rsidRPr="00E538BB">
        <w:t>owever</w:t>
      </w:r>
      <w:r w:rsidR="00864B69" w:rsidRPr="00E538BB">
        <w:t xml:space="preserve"> </w:t>
      </w:r>
      <w:r w:rsidR="00D73856" w:rsidRPr="00E538BB">
        <w:t xml:space="preserve">including </w:t>
      </w:r>
      <w:r w:rsidR="00864B69" w:rsidRPr="00E538BB">
        <w:t>some communal areas such as gardens or gathering places</w:t>
      </w:r>
      <w:r w:rsidRPr="00E538BB">
        <w:t xml:space="preserve"> </w:t>
      </w:r>
      <w:r w:rsidR="00864B69" w:rsidRPr="00E538BB">
        <w:t xml:space="preserve">  </w:t>
      </w:r>
    </w:p>
    <w:p w14:paraId="40713F4D" w14:textId="32B37D68" w:rsidR="00DF324E" w:rsidRPr="00E538BB" w:rsidRDefault="00901F7E" w:rsidP="00E538BB">
      <w:pPr>
        <w:pStyle w:val="2ndlevelbullet"/>
      </w:pPr>
      <w:r w:rsidRPr="00E538BB">
        <w:t>a</w:t>
      </w:r>
      <w:r w:rsidR="004D462F" w:rsidRPr="00E538BB">
        <w:t xml:space="preserve"> m</w:t>
      </w:r>
      <w:r w:rsidR="00DF324E" w:rsidRPr="00E538BB">
        <w:t xml:space="preserve">ix of </w:t>
      </w:r>
      <w:r w:rsidR="00D40EF0" w:rsidRPr="00E538BB">
        <w:t>1-bedroom</w:t>
      </w:r>
      <w:r w:rsidR="00DF324E" w:rsidRPr="00E538BB">
        <w:t xml:space="preserve">, </w:t>
      </w:r>
      <w:r w:rsidR="00D40EF0" w:rsidRPr="00E538BB">
        <w:t xml:space="preserve">2-bedroom and larger </w:t>
      </w:r>
      <w:r w:rsidR="00864B69" w:rsidRPr="00E538BB">
        <w:t>dwellings</w:t>
      </w:r>
      <w:r w:rsidR="004D462F" w:rsidRPr="00E538BB">
        <w:t xml:space="preserve"> to allow for </w:t>
      </w:r>
      <w:r w:rsidR="00D40EF0" w:rsidRPr="00E538BB">
        <w:t>various</w:t>
      </w:r>
      <w:r w:rsidR="004D462F" w:rsidRPr="00E538BB">
        <w:t xml:space="preserve"> needs</w:t>
      </w:r>
    </w:p>
    <w:p w14:paraId="539647DC" w14:textId="2ADEC690" w:rsidR="00DF324E" w:rsidRPr="00E538BB" w:rsidRDefault="00F02D71" w:rsidP="00E538BB">
      <w:pPr>
        <w:pStyle w:val="2ndlevelbullet"/>
      </w:pPr>
      <w:r w:rsidRPr="00E538BB">
        <w:t xml:space="preserve">features </w:t>
      </w:r>
      <w:r w:rsidR="00864B69" w:rsidRPr="00E538BB">
        <w:t>to ensure the safety of residents, including security features and adequate lighting</w:t>
      </w:r>
    </w:p>
    <w:p w14:paraId="474FA96C" w14:textId="2541DECB" w:rsidR="009069EB" w:rsidRPr="00E538BB" w:rsidRDefault="009069EB" w:rsidP="00E538BB">
      <w:pPr>
        <w:pStyle w:val="2ndlevelbullet"/>
      </w:pPr>
      <w:r w:rsidRPr="00E538BB">
        <w:t xml:space="preserve">for </w:t>
      </w:r>
      <w:r w:rsidR="00D40EF0" w:rsidRPr="00E538BB">
        <w:t>CALD</w:t>
      </w:r>
      <w:r w:rsidR="004A0215" w:rsidRPr="00E538BB">
        <w:t xml:space="preserve"> women and children</w:t>
      </w:r>
      <w:r w:rsidR="00D40EF0" w:rsidRPr="00E538BB">
        <w:t>:</w:t>
      </w:r>
      <w:r w:rsidR="00871BA3" w:rsidRPr="00E538BB">
        <w:t xml:space="preserve"> accommodation </w:t>
      </w:r>
      <w:r w:rsidR="00D40EF0" w:rsidRPr="00E538BB">
        <w:t xml:space="preserve">that </w:t>
      </w:r>
      <w:r w:rsidR="00871BA3" w:rsidRPr="00E538BB">
        <w:t>include</w:t>
      </w:r>
      <w:r w:rsidR="00D40EF0" w:rsidRPr="00E538BB">
        <w:t>s</w:t>
      </w:r>
      <w:r w:rsidR="00871BA3" w:rsidRPr="00E538BB">
        <w:t xml:space="preserve"> enough rooms for larger families, separate </w:t>
      </w:r>
      <w:r w:rsidR="00B31A8B" w:rsidRPr="00E538BB">
        <w:t xml:space="preserve">private </w:t>
      </w:r>
      <w:r w:rsidR="00871BA3" w:rsidRPr="00E538BB">
        <w:t>kitchens and prayer spaces</w:t>
      </w:r>
    </w:p>
    <w:p w14:paraId="562380A8" w14:textId="660545B0" w:rsidR="00871BA3" w:rsidRPr="00E538BB" w:rsidRDefault="00D40EF0" w:rsidP="00E538BB">
      <w:pPr>
        <w:pStyle w:val="2ndlevelbullet"/>
      </w:pPr>
      <w:r w:rsidRPr="00E538BB">
        <w:t>for</w:t>
      </w:r>
      <w:r w:rsidR="00871BA3" w:rsidRPr="00E538BB">
        <w:t xml:space="preserve"> First Nations women and children</w:t>
      </w:r>
      <w:r w:rsidRPr="00E538BB">
        <w:t>:</w:t>
      </w:r>
      <w:r w:rsidR="00871BA3" w:rsidRPr="00E538BB">
        <w:t xml:space="preserve"> </w:t>
      </w:r>
      <w:r w:rsidR="00073B0B" w:rsidRPr="00E538BB">
        <w:t xml:space="preserve">spaces </w:t>
      </w:r>
      <w:r w:rsidR="00D73856" w:rsidRPr="00E538BB">
        <w:t>big</w:t>
      </w:r>
      <w:r w:rsidR="008B585D" w:rsidRPr="00E538BB">
        <w:t xml:space="preserve"> enough for larger </w:t>
      </w:r>
      <w:r w:rsidR="00B31A8B" w:rsidRPr="00E538BB">
        <w:t>families</w:t>
      </w:r>
      <w:r w:rsidR="00D73856" w:rsidRPr="00E538BB">
        <w:t xml:space="preserve">, and </w:t>
      </w:r>
      <w:r w:rsidR="008B585D" w:rsidRPr="00E538BB">
        <w:t>cultural spaces</w:t>
      </w:r>
      <w:r w:rsidR="00901F7E" w:rsidRPr="00E538BB">
        <w:t xml:space="preserve"> such as fire pits</w:t>
      </w:r>
      <w:r w:rsidR="008B585D" w:rsidRPr="00E538BB">
        <w:t xml:space="preserve"> </w:t>
      </w:r>
    </w:p>
    <w:p w14:paraId="2B0B8081" w14:textId="654C3697" w:rsidR="009069EB" w:rsidRDefault="00F02D71" w:rsidP="00E538BB">
      <w:pPr>
        <w:pStyle w:val="2ndlevelbullet"/>
      </w:pPr>
      <w:r w:rsidRPr="00E538BB">
        <w:t xml:space="preserve">private </w:t>
      </w:r>
      <w:r w:rsidR="008B585D" w:rsidRPr="00E538BB">
        <w:t>separate</w:t>
      </w:r>
      <w:r w:rsidR="008B585D">
        <w:t xml:space="preserve"> dwellings catering to women and children with disability, </w:t>
      </w:r>
      <w:r w:rsidR="00D73856">
        <w:t xml:space="preserve">with </w:t>
      </w:r>
      <w:r w:rsidR="008B585D" w:rsidRPr="00D73856">
        <w:t>sep</w:t>
      </w:r>
      <w:r w:rsidR="008B585D">
        <w:t>arate room</w:t>
      </w:r>
      <w:r w:rsidR="00901F7E">
        <w:t>s</w:t>
      </w:r>
      <w:r w:rsidR="008B585D">
        <w:t xml:space="preserve"> available for a carer, and inclusion of accessible design features throughout</w:t>
      </w:r>
      <w:r w:rsidR="002572CA">
        <w:t>.</w:t>
      </w:r>
    </w:p>
    <w:p w14:paraId="734D95AC" w14:textId="1A1F538E" w:rsidR="00901F7E" w:rsidRDefault="009069EB" w:rsidP="001030B1">
      <w:pPr>
        <w:pStyle w:val="Bulletlist"/>
      </w:pPr>
      <w:r>
        <w:t xml:space="preserve">The </w:t>
      </w:r>
      <w:r w:rsidR="00901F7E">
        <w:t>grant opportunity process</w:t>
      </w:r>
      <w:r>
        <w:t xml:space="preserve"> should ensure </w:t>
      </w:r>
      <w:r w:rsidR="00D73856">
        <w:t xml:space="preserve">that </w:t>
      </w:r>
      <w:r>
        <w:t>the</w:t>
      </w:r>
      <w:r w:rsidR="001F4C60">
        <w:t xml:space="preserve"> locat</w:t>
      </w:r>
      <w:r w:rsidR="001F4C60" w:rsidRPr="00D73856">
        <w:t>ion o</w:t>
      </w:r>
      <w:r w:rsidR="001F4C60">
        <w:t>f</w:t>
      </w:r>
      <w:r w:rsidR="00901F7E">
        <w:t xml:space="preserve"> developed</w:t>
      </w:r>
      <w:r w:rsidR="001F4C60">
        <w:t xml:space="preserve"> </w:t>
      </w:r>
      <w:r>
        <w:t>emergency accommodation meet</w:t>
      </w:r>
      <w:r w:rsidR="00D73856">
        <w:t>s</w:t>
      </w:r>
      <w:r>
        <w:t xml:space="preserve"> the needs of clients, and women and children of CALD, First Nations and disability backgrounds. </w:t>
      </w:r>
    </w:p>
    <w:p w14:paraId="0273EC43" w14:textId="77777777" w:rsidR="001030B1" w:rsidRPr="00E538BB" w:rsidRDefault="009069EB" w:rsidP="00E538BB">
      <w:pPr>
        <w:pStyle w:val="2ndlevelbullet"/>
      </w:pPr>
      <w:r>
        <w:t>Importantly</w:t>
      </w:r>
      <w:r w:rsidRPr="00E538BB">
        <w:t xml:space="preserve">, </w:t>
      </w:r>
      <w:r w:rsidR="00526425" w:rsidRPr="00E538BB">
        <w:t xml:space="preserve">accommodation should be central and close to shops and public </w:t>
      </w:r>
      <w:r w:rsidR="005E08F5" w:rsidRPr="00E538BB">
        <w:t>transport but</w:t>
      </w:r>
      <w:r w:rsidR="00526425" w:rsidRPr="00E538BB">
        <w:t xml:space="preserve"> should be off the main street to ensure privacy and safety for women and children. </w:t>
      </w:r>
    </w:p>
    <w:p w14:paraId="343B74B9" w14:textId="3ED536F8" w:rsidR="00BE461B" w:rsidRPr="00E538BB" w:rsidRDefault="00901F7E" w:rsidP="00E538BB">
      <w:pPr>
        <w:pStyle w:val="2ndlevelbullet"/>
      </w:pPr>
      <w:r w:rsidRPr="00E538BB">
        <w:t>A</w:t>
      </w:r>
      <w:r w:rsidR="00BE461B" w:rsidRPr="00E538BB">
        <w:t xml:space="preserve">ccommodation </w:t>
      </w:r>
      <w:r w:rsidRPr="00E538BB">
        <w:t>should be</w:t>
      </w:r>
      <w:r w:rsidR="00022855" w:rsidRPr="00E538BB">
        <w:t xml:space="preserve"> in a</w:t>
      </w:r>
      <w:r w:rsidR="00BE461B" w:rsidRPr="00E538BB">
        <w:t xml:space="preserve"> quiet</w:t>
      </w:r>
      <w:r w:rsidR="00022855" w:rsidRPr="00E538BB">
        <w:t xml:space="preserve"> and safe</w:t>
      </w:r>
      <w:r w:rsidR="00BE461B" w:rsidRPr="00E538BB">
        <w:t xml:space="preserve"> area</w:t>
      </w:r>
      <w:r w:rsidR="00D73856" w:rsidRPr="00E538BB">
        <w:t>.</w:t>
      </w:r>
    </w:p>
    <w:p w14:paraId="67F9A164" w14:textId="77777777" w:rsidR="005E08F5" w:rsidRDefault="00901F7E" w:rsidP="00E538BB">
      <w:pPr>
        <w:pStyle w:val="2ndlevelbullet"/>
      </w:pPr>
      <w:r w:rsidRPr="00E538BB">
        <w:t>Developments should consider proximity of</w:t>
      </w:r>
      <w:r w:rsidR="00022855" w:rsidRPr="00E538BB">
        <w:t xml:space="preserve"> the accommodation </w:t>
      </w:r>
      <w:r w:rsidR="00BE461B" w:rsidRPr="00E538BB">
        <w:t xml:space="preserve">to </w:t>
      </w:r>
      <w:r w:rsidRPr="00E538BB">
        <w:t>clients’</w:t>
      </w:r>
      <w:r w:rsidR="00BE461B" w:rsidRPr="00E538BB">
        <w:t xml:space="preserve"> prior neighbourhood</w:t>
      </w:r>
      <w:r w:rsidRPr="00E538BB">
        <w:t>s</w:t>
      </w:r>
      <w:r w:rsidR="00BE461B">
        <w:t xml:space="preserve">, children’s </w:t>
      </w:r>
      <w:r>
        <w:t>schools</w:t>
      </w:r>
      <w:r w:rsidR="00BE461B">
        <w:t xml:space="preserve"> or childcare</w:t>
      </w:r>
      <w:r>
        <w:t xml:space="preserve"> centres</w:t>
      </w:r>
      <w:r w:rsidR="00BE461B">
        <w:t xml:space="preserve">, and other supports and services such as Centrelink and banks. </w:t>
      </w:r>
    </w:p>
    <w:p w14:paraId="6EB17568" w14:textId="7E4ECE7B" w:rsidR="008B585D" w:rsidRPr="00014A4F" w:rsidRDefault="0022017D" w:rsidP="008B585D">
      <w:pPr>
        <w:pStyle w:val="Bulletlist"/>
      </w:pPr>
      <w:r>
        <w:t>T</w:t>
      </w:r>
      <w:r w:rsidR="008B585D">
        <w:t xml:space="preserve">he </w:t>
      </w:r>
      <w:r w:rsidR="00901F7E">
        <w:t>grant opportunity process</w:t>
      </w:r>
      <w:r>
        <w:t xml:space="preserve"> should</w:t>
      </w:r>
      <w:r w:rsidR="00901F7E">
        <w:t xml:space="preserve"> encourage </w:t>
      </w:r>
      <w:r w:rsidR="008B585D">
        <w:t xml:space="preserve">grantees to </w:t>
      </w:r>
      <w:r w:rsidR="00901F7E">
        <w:t>undertake an assess</w:t>
      </w:r>
      <w:r w:rsidR="00CF2CDA">
        <w:t>ment of</w:t>
      </w:r>
      <w:r w:rsidR="00901F7E">
        <w:t xml:space="preserve"> </w:t>
      </w:r>
      <w:r w:rsidR="008B585D">
        <w:t>the land and its history prior to construction, seeking input from local First Nations Elders.</w:t>
      </w:r>
    </w:p>
    <w:p w14:paraId="28F20F31" w14:textId="47C6A43C" w:rsidR="00131E3C" w:rsidRDefault="00EE6F7C" w:rsidP="00C2547E">
      <w:pPr>
        <w:pStyle w:val="Heading2"/>
      </w:pPr>
      <w:bookmarkStart w:id="33" w:name="_Toc147910410"/>
      <w:r>
        <w:t xml:space="preserve">Themes </w:t>
      </w:r>
      <w:r w:rsidR="00131E3C">
        <w:t>regarding the supports and services provided alongside emergency accommodation</w:t>
      </w:r>
      <w:bookmarkEnd w:id="33"/>
    </w:p>
    <w:p w14:paraId="693DA0BE" w14:textId="7CCFCCA0" w:rsidR="00C65EB4" w:rsidRDefault="00C65EB4" w:rsidP="00131E3C">
      <w:pPr>
        <w:pStyle w:val="Bulletlist"/>
      </w:pPr>
      <w:r w:rsidRPr="00C65EB4">
        <w:t xml:space="preserve">In line with </w:t>
      </w:r>
      <w:r w:rsidR="0022017D">
        <w:t xml:space="preserve">the </w:t>
      </w:r>
      <w:r w:rsidRPr="00C65EB4">
        <w:t>need for wrap</w:t>
      </w:r>
      <w:r w:rsidR="00AC11D9">
        <w:t>-</w:t>
      </w:r>
      <w:r w:rsidRPr="00C65EB4">
        <w:t xml:space="preserve">around services while in emergency accommodation, </w:t>
      </w:r>
      <w:r>
        <w:t xml:space="preserve">the </w:t>
      </w:r>
      <w:r w:rsidR="008F1238">
        <w:t>grant opportunity guidelines</w:t>
      </w:r>
      <w:r>
        <w:t xml:space="preserve"> </w:t>
      </w:r>
      <w:r w:rsidR="0022017D">
        <w:t xml:space="preserve">should </w:t>
      </w:r>
      <w:r>
        <w:t>encourage and support organisations to provide the following</w:t>
      </w:r>
      <w:r w:rsidR="0022017D">
        <w:t xml:space="preserve"> </w:t>
      </w:r>
      <w:r w:rsidR="006540B4">
        <w:t>services</w:t>
      </w:r>
      <w:r w:rsidRPr="0022017D">
        <w:t xml:space="preserve"> in-house </w:t>
      </w:r>
      <w:r w:rsidR="006540B4">
        <w:t xml:space="preserve">or via </w:t>
      </w:r>
      <w:r>
        <w:t xml:space="preserve">partnerships, or </w:t>
      </w:r>
      <w:r w:rsidR="006540B4">
        <w:t xml:space="preserve">through </w:t>
      </w:r>
      <w:r>
        <w:t>proximity and availability to the emergency accommodation:</w:t>
      </w:r>
    </w:p>
    <w:p w14:paraId="7C4C7FF9" w14:textId="110B6289" w:rsidR="00131E3C" w:rsidRPr="00E538BB" w:rsidRDefault="0022017D" w:rsidP="00E538BB">
      <w:pPr>
        <w:pStyle w:val="2ndlevelbullet"/>
      </w:pPr>
      <w:r>
        <w:t xml:space="preserve">a </w:t>
      </w:r>
      <w:r w:rsidR="00395BED">
        <w:t xml:space="preserve">support </w:t>
      </w:r>
      <w:r w:rsidR="00395BED" w:rsidRPr="00E538BB">
        <w:t xml:space="preserve">worker or case manager for each client, available immediately upon arrival at the accommodation and for the duration of </w:t>
      </w:r>
      <w:r w:rsidR="006540B4" w:rsidRPr="00E538BB">
        <w:t xml:space="preserve">their </w:t>
      </w:r>
      <w:r w:rsidR="00395BED" w:rsidRPr="00E538BB">
        <w:t xml:space="preserve">stay, until </w:t>
      </w:r>
      <w:r w:rsidR="008F1238" w:rsidRPr="00E538BB">
        <w:t xml:space="preserve">they </w:t>
      </w:r>
      <w:r w:rsidR="00395BED" w:rsidRPr="00E538BB">
        <w:t>transition</w:t>
      </w:r>
      <w:r w:rsidR="008F1238" w:rsidRPr="00E538BB">
        <w:t xml:space="preserve"> to other community, social or private</w:t>
      </w:r>
      <w:r w:rsidR="006540B4" w:rsidRPr="00E538BB">
        <w:t>-</w:t>
      </w:r>
      <w:r w:rsidR="008F1238" w:rsidRPr="00E538BB">
        <w:t xml:space="preserve">market housing </w:t>
      </w:r>
    </w:p>
    <w:p w14:paraId="1DD66354" w14:textId="4AEA126E" w:rsidR="00395BED" w:rsidRPr="00E538BB" w:rsidRDefault="0022017D" w:rsidP="00E538BB">
      <w:pPr>
        <w:pStyle w:val="2ndlevelbullet"/>
      </w:pPr>
      <w:r w:rsidRPr="00E538BB">
        <w:t>counselling</w:t>
      </w:r>
      <w:r w:rsidR="00395BED" w:rsidRPr="00E538BB">
        <w:t xml:space="preserve"> or other mental health support services</w:t>
      </w:r>
    </w:p>
    <w:p w14:paraId="44AD4856" w14:textId="10D1ECFE" w:rsidR="00395BED" w:rsidRDefault="006540B4" w:rsidP="00E538BB">
      <w:pPr>
        <w:pStyle w:val="2ndlevelbullet"/>
      </w:pPr>
      <w:r w:rsidRPr="00E538BB">
        <w:lastRenderedPageBreak/>
        <w:t xml:space="preserve">other </w:t>
      </w:r>
      <w:r w:rsidR="00395BED" w:rsidRPr="00E538BB">
        <w:t>services including</w:t>
      </w:r>
      <w:r w:rsidR="00395BED">
        <w:t xml:space="preserve"> child</w:t>
      </w:r>
      <w:r w:rsidR="000A16FE">
        <w:t xml:space="preserve"> </w:t>
      </w:r>
      <w:r w:rsidR="00395BED">
        <w:t xml:space="preserve">care, legal and migration services, employment counselling and financial services. </w:t>
      </w:r>
    </w:p>
    <w:p w14:paraId="46BCD545" w14:textId="48336A96" w:rsidR="001D6CCD" w:rsidRDefault="001D6CCD" w:rsidP="001D6CCD">
      <w:pPr>
        <w:pStyle w:val="Bulletlist"/>
      </w:pPr>
      <w:r>
        <w:t xml:space="preserve">Language support (including interpreters), spiritual support and culturally safe and competent services should be a priority for </w:t>
      </w:r>
      <w:r w:rsidR="00060B8B">
        <w:t>CALD</w:t>
      </w:r>
      <w:r>
        <w:t xml:space="preserve"> women and children, as well as First Nations women and children. </w:t>
      </w:r>
    </w:p>
    <w:p w14:paraId="554EA396" w14:textId="69933E5C" w:rsidR="00395BED" w:rsidRPr="00C65EB4" w:rsidRDefault="0027297E" w:rsidP="002572CA">
      <w:pPr>
        <w:pStyle w:val="Bulletlist"/>
      </w:pPr>
      <w:r>
        <w:t>W</w:t>
      </w:r>
      <w:r w:rsidR="006A5268" w:rsidRPr="001D6CCD">
        <w:t xml:space="preserve">herever </w:t>
      </w:r>
      <w:r w:rsidR="006A5268">
        <w:t xml:space="preserve">possible, </w:t>
      </w:r>
      <w:r w:rsidR="0054459B">
        <w:t>women</w:t>
      </w:r>
      <w:r w:rsidR="001D6CCD" w:rsidRPr="001D6CCD">
        <w:t xml:space="preserve"> and children should have the option of in-person and remote access for all services.</w:t>
      </w:r>
      <w:r w:rsidR="001D6CCD">
        <w:t xml:space="preserve"> </w:t>
      </w:r>
      <w:r w:rsidR="0054459B">
        <w:t xml:space="preserve">While </w:t>
      </w:r>
      <w:r w:rsidR="00060B8B">
        <w:t xml:space="preserve">it is </w:t>
      </w:r>
      <w:r w:rsidR="0054459B">
        <w:t xml:space="preserve">recommended </w:t>
      </w:r>
      <w:r w:rsidR="00060B8B">
        <w:t xml:space="preserve">that most services can </w:t>
      </w:r>
      <w:r w:rsidR="0054459B">
        <w:t>be accessed in</w:t>
      </w:r>
      <w:r w:rsidR="000A74E9">
        <w:t xml:space="preserve"> </w:t>
      </w:r>
      <w:r w:rsidR="0054459B">
        <w:t xml:space="preserve">person, some may be delivered online (such as Centrelink), and interpreters should be </w:t>
      </w:r>
      <w:r w:rsidR="00060B8B">
        <w:t>provided</w:t>
      </w:r>
      <w:r w:rsidR="0054459B">
        <w:t xml:space="preserve"> online as a default. </w:t>
      </w:r>
    </w:p>
    <w:p w14:paraId="44E6A46F" w14:textId="64929EB8" w:rsidR="009069EB" w:rsidRDefault="00EE6F7C" w:rsidP="00C2547E">
      <w:pPr>
        <w:pStyle w:val="Heading2"/>
      </w:pPr>
      <w:bookmarkStart w:id="34" w:name="_Toc147910411"/>
      <w:r>
        <w:t xml:space="preserve">Themes </w:t>
      </w:r>
      <w:r w:rsidR="009069EB">
        <w:t xml:space="preserve">regarding the assessment of grant applications, </w:t>
      </w:r>
      <w:r w:rsidR="00BF4357">
        <w:t>and supporting applicants and successful grantees</w:t>
      </w:r>
      <w:bookmarkEnd w:id="34"/>
    </w:p>
    <w:p w14:paraId="5F3F023A" w14:textId="08190D8E" w:rsidR="008766CA" w:rsidRDefault="0040642E" w:rsidP="008766CA">
      <w:pPr>
        <w:pStyle w:val="Bulletlist"/>
      </w:pPr>
      <w:r>
        <w:t>When assessing grant applications</w:t>
      </w:r>
      <w:r w:rsidRPr="00060B8B">
        <w:t xml:space="preserve">, </w:t>
      </w:r>
      <w:r>
        <w:t xml:space="preserve">organisations </w:t>
      </w:r>
      <w:r w:rsidR="0027297E">
        <w:t>should be prioritised where they</w:t>
      </w:r>
      <w:r w:rsidR="00BC7747">
        <w:t xml:space="preserve"> </w:t>
      </w:r>
      <w:r>
        <w:t>can demonstrate</w:t>
      </w:r>
      <w:r w:rsidR="00014A4F">
        <w:t xml:space="preserve">: </w:t>
      </w:r>
    </w:p>
    <w:p w14:paraId="0F4544FD" w14:textId="4429C0A6" w:rsidR="00BB16B8" w:rsidRDefault="00060B8B" w:rsidP="00E538BB">
      <w:pPr>
        <w:pStyle w:val="2ndlevelbullet"/>
      </w:pPr>
      <w:r w:rsidRPr="00060B8B">
        <w:t xml:space="preserve">a </w:t>
      </w:r>
      <w:r w:rsidR="00BB16B8" w:rsidRPr="00060B8B">
        <w:t>proven</w:t>
      </w:r>
      <w:r w:rsidR="00BB16B8">
        <w:t xml:space="preserve"> track record of working in family and domestic violence</w:t>
      </w:r>
    </w:p>
    <w:p w14:paraId="6F74502F" w14:textId="2AA83B12" w:rsidR="00BB16B8" w:rsidRDefault="00060B8B" w:rsidP="00E538BB">
      <w:pPr>
        <w:pStyle w:val="2ndlevelbullet"/>
      </w:pPr>
      <w:r>
        <w:t xml:space="preserve">a </w:t>
      </w:r>
      <w:r w:rsidR="00510215">
        <w:t xml:space="preserve">building record </w:t>
      </w:r>
      <w:r w:rsidR="001366EF">
        <w:t>that</w:t>
      </w:r>
      <w:r w:rsidR="00510215">
        <w:t xml:space="preserve"> demonstrates their capacity to deliver materials and a safe structure</w:t>
      </w:r>
    </w:p>
    <w:p w14:paraId="5C3516B4" w14:textId="12EEE1FB" w:rsidR="008766CA" w:rsidRDefault="00060B8B" w:rsidP="00E538BB">
      <w:pPr>
        <w:pStyle w:val="2ndlevelbullet"/>
      </w:pPr>
      <w:r>
        <w:t xml:space="preserve">an </w:t>
      </w:r>
      <w:r w:rsidR="00014A4F">
        <w:t>u</w:t>
      </w:r>
      <w:r w:rsidR="00FA0962">
        <w:t>nderstanding of the needs of local communities</w:t>
      </w:r>
    </w:p>
    <w:p w14:paraId="7BB4EC80" w14:textId="20EB90C4" w:rsidR="00BC7747" w:rsidRDefault="00060B8B" w:rsidP="00E538BB">
      <w:pPr>
        <w:pStyle w:val="2ndlevelbullet"/>
      </w:pPr>
      <w:r>
        <w:t xml:space="preserve">ongoing </w:t>
      </w:r>
      <w:r w:rsidR="00BC7747">
        <w:t>consultation with local communities so that the p</w:t>
      </w:r>
      <w:r w:rsidR="00BC7747" w:rsidRPr="001366EF">
        <w:t>erspectives</w:t>
      </w:r>
      <w:r w:rsidR="00BC7747">
        <w:t xml:space="preserve"> of people with lived experience are incorporated </w:t>
      </w:r>
      <w:r w:rsidR="001366EF">
        <w:t>in</w:t>
      </w:r>
      <w:r w:rsidR="00BC7747">
        <w:t xml:space="preserve">to both the physical dwelling design </w:t>
      </w:r>
      <w:r w:rsidR="001366EF">
        <w:t>and</w:t>
      </w:r>
      <w:r w:rsidR="00BC7747">
        <w:t xml:space="preserve"> any wrap-around support services offered by the grantee</w:t>
      </w:r>
    </w:p>
    <w:p w14:paraId="66E1E707" w14:textId="6BF1ECC6" w:rsidR="00FA0962" w:rsidRDefault="00060B8B" w:rsidP="00E538BB">
      <w:pPr>
        <w:pStyle w:val="2ndlevelbullet"/>
      </w:pPr>
      <w:r>
        <w:t xml:space="preserve">evidence </w:t>
      </w:r>
      <w:r w:rsidR="00D716B9">
        <w:t>of m</w:t>
      </w:r>
      <w:r w:rsidR="00EB5C86">
        <w:t xml:space="preserve">eaningful links, partnerships and relationships with other services and community </w:t>
      </w:r>
    </w:p>
    <w:p w14:paraId="0368F38E" w14:textId="3EFDF576" w:rsidR="00EB5C86" w:rsidRDefault="00060B8B" w:rsidP="00E538BB">
      <w:pPr>
        <w:pStyle w:val="2ndlevelbullet"/>
      </w:pPr>
      <w:r>
        <w:t>r</w:t>
      </w:r>
      <w:r w:rsidRPr="00EB5C86">
        <w:t xml:space="preserve">elevant </w:t>
      </w:r>
      <w:r w:rsidR="00EB5C86" w:rsidRPr="00EB5C86">
        <w:t>training</w:t>
      </w:r>
      <w:r w:rsidR="001366EF">
        <w:t xml:space="preserve"> of</w:t>
      </w:r>
      <w:r w:rsidR="000007F4">
        <w:t xml:space="preserve"> staff</w:t>
      </w:r>
      <w:r w:rsidR="00EB5C86" w:rsidRPr="00EB5C86">
        <w:t xml:space="preserve"> and </w:t>
      </w:r>
      <w:r w:rsidR="001366EF">
        <w:t xml:space="preserve">regular </w:t>
      </w:r>
      <w:r w:rsidR="00EB5C86" w:rsidRPr="00EB5C86">
        <w:t>orga</w:t>
      </w:r>
      <w:r w:rsidR="00EB5C86" w:rsidRPr="001366EF">
        <w:t>nisational audits</w:t>
      </w:r>
    </w:p>
    <w:p w14:paraId="6C54334C" w14:textId="3B7F18E2" w:rsidR="0064003C" w:rsidRDefault="00060B8B" w:rsidP="00E538BB">
      <w:pPr>
        <w:pStyle w:val="2ndlevelbullet"/>
      </w:pPr>
      <w:r>
        <w:t xml:space="preserve">organisational </w:t>
      </w:r>
      <w:r w:rsidR="00805218">
        <w:t xml:space="preserve">practices and policies that are culturally safe, </w:t>
      </w:r>
      <w:r w:rsidR="00805218" w:rsidRPr="00805218">
        <w:t>with an understanding of intersectionality</w:t>
      </w:r>
      <w:r w:rsidR="00805218" w:rsidRPr="001366EF">
        <w:t xml:space="preserve">, and </w:t>
      </w:r>
      <w:r w:rsidR="001366EF" w:rsidRPr="001366EF">
        <w:t xml:space="preserve">safety </w:t>
      </w:r>
      <w:r w:rsidR="00805218" w:rsidRPr="001366EF">
        <w:t xml:space="preserve">and </w:t>
      </w:r>
      <w:r w:rsidR="001366EF" w:rsidRPr="001366EF">
        <w:t>inclusion p</w:t>
      </w:r>
      <w:r w:rsidR="00805218" w:rsidRPr="001366EF">
        <w:t>olicies in place.</w:t>
      </w:r>
    </w:p>
    <w:p w14:paraId="7540EAF5" w14:textId="5E006048" w:rsidR="0064003C" w:rsidRPr="00395BED" w:rsidRDefault="0064003C" w:rsidP="0064003C">
      <w:pPr>
        <w:pStyle w:val="Bulletlist"/>
      </w:pPr>
      <w:r>
        <w:t xml:space="preserve">The </w:t>
      </w:r>
      <w:r w:rsidR="0083110F">
        <w:t>grant assessment process</w:t>
      </w:r>
      <w:r>
        <w:t xml:space="preserve"> should</w:t>
      </w:r>
      <w:r w:rsidR="008F5828">
        <w:t xml:space="preserve"> consider</w:t>
      </w:r>
      <w:r>
        <w:t xml:space="preserve"> prioritis</w:t>
      </w:r>
      <w:r w:rsidR="008F5828">
        <w:t>ing Aboriginal Community Controlled Organisations</w:t>
      </w:r>
      <w:r w:rsidR="00BB16B8">
        <w:t xml:space="preserve"> for any applications </w:t>
      </w:r>
      <w:r w:rsidR="00DD1D1B">
        <w:t>that</w:t>
      </w:r>
      <w:r w:rsidR="008F5828">
        <w:t xml:space="preserve"> will be largely servicing </w:t>
      </w:r>
      <w:r w:rsidR="000007F4">
        <w:t>women and children from First Nations backgrounds</w:t>
      </w:r>
      <w:r w:rsidR="008F5828">
        <w:t xml:space="preserve">. </w:t>
      </w:r>
      <w:r w:rsidR="00BB16B8">
        <w:t xml:space="preserve">When the applying organisation is not Aboriginal owned, it is critical that the organisation has identified </w:t>
      </w:r>
      <w:r w:rsidR="00BB16B8" w:rsidRPr="00DD1D1B">
        <w:t>positions for First</w:t>
      </w:r>
      <w:r w:rsidR="00BB16B8">
        <w:t xml:space="preserve"> Nations women.</w:t>
      </w:r>
    </w:p>
    <w:p w14:paraId="5682BF0D" w14:textId="39E4D7BA" w:rsidR="002B5670" w:rsidRDefault="0040642E" w:rsidP="008766CA">
      <w:pPr>
        <w:pStyle w:val="Bulletlist"/>
      </w:pPr>
      <w:r>
        <w:t>Sector stakeholder</w:t>
      </w:r>
      <w:r w:rsidR="00D716B9">
        <w:t>s</w:t>
      </w:r>
      <w:r>
        <w:t xml:space="preserve"> expressed a clear need for support in applying for a grant such as this, particularly smaller organisations. </w:t>
      </w:r>
      <w:r w:rsidR="00FC4489">
        <w:t>DSS</w:t>
      </w:r>
      <w:r>
        <w:t xml:space="preserve"> </w:t>
      </w:r>
      <w:r w:rsidR="0027297E">
        <w:t xml:space="preserve">may </w:t>
      </w:r>
      <w:r w:rsidR="0083110F">
        <w:t xml:space="preserve">explore providing </w:t>
      </w:r>
      <w:r>
        <w:t xml:space="preserve">support to all applicants in the form of: </w:t>
      </w:r>
    </w:p>
    <w:p w14:paraId="70E82DE9" w14:textId="56667EB7" w:rsidR="00C4124D" w:rsidRDefault="00C4124D" w:rsidP="00E538BB">
      <w:pPr>
        <w:pStyle w:val="2ndlevelbullet"/>
      </w:pPr>
      <w:r w:rsidRPr="00C4124D">
        <w:t>information</w:t>
      </w:r>
      <w:r>
        <w:t xml:space="preserve"> to applicants</w:t>
      </w:r>
      <w:r w:rsidRPr="00C4124D">
        <w:t xml:space="preserve"> in the form of workshops, forums or feedback on their applications</w:t>
      </w:r>
    </w:p>
    <w:p w14:paraId="16363BD5" w14:textId="7621DD05" w:rsidR="00C4124D" w:rsidRDefault="00C4124D" w:rsidP="00E538BB">
      <w:pPr>
        <w:pStyle w:val="2ndlevelbullet"/>
      </w:pPr>
      <w:r>
        <w:t xml:space="preserve">additional time to prepare the application (more than 6 months is recommended, particularly for smaller organisations) </w:t>
      </w:r>
    </w:p>
    <w:p w14:paraId="39A21B58" w14:textId="0C28F9F6" w:rsidR="00C4124D" w:rsidRDefault="0022017D" w:rsidP="00E538BB">
      <w:pPr>
        <w:pStyle w:val="2ndlevelbullet"/>
      </w:pPr>
      <w:r>
        <w:lastRenderedPageBreak/>
        <w:t xml:space="preserve">funding </w:t>
      </w:r>
      <w:r w:rsidR="00C4124D">
        <w:t xml:space="preserve">to support application development </w:t>
      </w:r>
    </w:p>
    <w:p w14:paraId="1AFFC4F4" w14:textId="12C72BBA" w:rsidR="00C4124D" w:rsidRDefault="00C4124D" w:rsidP="00E538BB">
      <w:pPr>
        <w:pStyle w:val="2ndlevelbullet"/>
      </w:pPr>
      <w:r>
        <w:t xml:space="preserve">an opportunity </w:t>
      </w:r>
      <w:r w:rsidR="00DD1D1B">
        <w:t xml:space="preserve">to submit </w:t>
      </w:r>
      <w:r>
        <w:t xml:space="preserve">an initial </w:t>
      </w:r>
      <w:r w:rsidR="0083110F">
        <w:t xml:space="preserve">short </w:t>
      </w:r>
      <w:r>
        <w:t xml:space="preserve">proposal or </w:t>
      </w:r>
      <w:r w:rsidR="00DD1D1B">
        <w:t>expression of inter</w:t>
      </w:r>
      <w:r>
        <w:t xml:space="preserve">est, with additional funding to further develop </w:t>
      </w:r>
      <w:r w:rsidR="0083110F">
        <w:t xml:space="preserve">a proposal </w:t>
      </w:r>
      <w:r>
        <w:t>after being shortlisted.</w:t>
      </w:r>
    </w:p>
    <w:p w14:paraId="61339124" w14:textId="2F7D763D" w:rsidR="008766CA" w:rsidRDefault="00FC4489" w:rsidP="008766CA">
      <w:pPr>
        <w:pStyle w:val="Bulletlist"/>
      </w:pPr>
      <w:r>
        <w:t>DSS</w:t>
      </w:r>
      <w:r w:rsidR="00194815">
        <w:t xml:space="preserve"> should </w:t>
      </w:r>
      <w:r w:rsidR="0083110F">
        <w:t xml:space="preserve">consider </w:t>
      </w:r>
      <w:r w:rsidR="00194815">
        <w:t>provid</w:t>
      </w:r>
      <w:r w:rsidR="0083110F">
        <w:t>ing</w:t>
      </w:r>
      <w:r w:rsidR="00194815">
        <w:t xml:space="preserve"> ongoing support to the organisations </w:t>
      </w:r>
      <w:r w:rsidR="0083110F">
        <w:t>that</w:t>
      </w:r>
      <w:r w:rsidR="00194815">
        <w:t xml:space="preserve"> are awarded the Inclusion Round grant</w:t>
      </w:r>
      <w:r w:rsidR="00DD1D1B">
        <w:t xml:space="preserve"> in the form of</w:t>
      </w:r>
      <w:r w:rsidR="005F1982">
        <w:t xml:space="preserve">: </w:t>
      </w:r>
    </w:p>
    <w:p w14:paraId="1253FD61" w14:textId="6ED16457" w:rsidR="00AF6EBE" w:rsidRDefault="00DD1D1B" w:rsidP="00E538BB">
      <w:pPr>
        <w:pStyle w:val="2ndlevelbullet"/>
      </w:pPr>
      <w:r>
        <w:t>a</w:t>
      </w:r>
      <w:r w:rsidRPr="001E2FF2">
        <w:t>dditional</w:t>
      </w:r>
      <w:r w:rsidR="001E2FF2" w:rsidRPr="001E2FF2">
        <w:t xml:space="preserve">, ongoing or flexible funding </w:t>
      </w:r>
      <w:r w:rsidR="009C3FFB">
        <w:t xml:space="preserve">for capital works and services that </w:t>
      </w:r>
      <w:r>
        <w:t>are</w:t>
      </w:r>
      <w:r w:rsidR="009C3FFB">
        <w:t xml:space="preserve"> </w:t>
      </w:r>
      <w:r w:rsidR="001E2FF2" w:rsidRPr="001E2FF2">
        <w:t xml:space="preserve">attached to the grant </w:t>
      </w:r>
      <w:r>
        <w:t>(</w:t>
      </w:r>
      <w:r w:rsidR="001E2FF2" w:rsidRPr="001E2FF2">
        <w:t>particularly for organisations servicing regional and remote areas</w:t>
      </w:r>
      <w:r>
        <w:t>)</w:t>
      </w:r>
      <w:r w:rsidR="001E2FF2">
        <w:t>, as well as additional funding in the transition period</w:t>
      </w:r>
    </w:p>
    <w:p w14:paraId="3B2C29E9" w14:textId="7203612D" w:rsidR="001E2FF2" w:rsidRDefault="00DD1D1B" w:rsidP="00E538BB">
      <w:pPr>
        <w:pStyle w:val="2ndlevelbullet"/>
      </w:pPr>
      <w:r>
        <w:t xml:space="preserve">training </w:t>
      </w:r>
      <w:r w:rsidR="001E2FF2">
        <w:t>and capacity building</w:t>
      </w:r>
      <w:r w:rsidR="004B6552">
        <w:t xml:space="preserve"> in grant management</w:t>
      </w:r>
      <w:r w:rsidR="001E2FF2">
        <w:t xml:space="preserve"> for organisational staff </w:t>
      </w:r>
    </w:p>
    <w:p w14:paraId="2850A7E9" w14:textId="12EE5222" w:rsidR="001E2FF2" w:rsidRDefault="004B6552" w:rsidP="00E538BB">
      <w:pPr>
        <w:pStyle w:val="2ndlevelbullet"/>
      </w:pPr>
      <w:r>
        <w:t>facilitat</w:t>
      </w:r>
      <w:r w:rsidR="00F21AB7">
        <w:t xml:space="preserve">ing </w:t>
      </w:r>
      <w:r>
        <w:t>c</w:t>
      </w:r>
      <w:r w:rsidR="001E2FF2">
        <w:t xml:space="preserve">onnections to </w:t>
      </w:r>
      <w:r>
        <w:t xml:space="preserve">housing development </w:t>
      </w:r>
      <w:r w:rsidR="001E2FF2">
        <w:t>partners</w:t>
      </w:r>
      <w:r w:rsidR="00F21AB7">
        <w:t xml:space="preserve"> (</w:t>
      </w:r>
      <w:r w:rsidR="001E2FF2">
        <w:t>such as builders or designers</w:t>
      </w:r>
      <w:r w:rsidR="00F21AB7">
        <w:t>)</w:t>
      </w:r>
      <w:r w:rsidR="001E2FF2">
        <w:t xml:space="preserve"> but allowing grantees autonomy in choosing contractors</w:t>
      </w:r>
      <w:r w:rsidR="002572CA">
        <w:t>.</w:t>
      </w:r>
    </w:p>
    <w:p w14:paraId="39466E6F" w14:textId="28F10EEE" w:rsidR="00526425" w:rsidRDefault="00F21AB7" w:rsidP="008766CA">
      <w:pPr>
        <w:pStyle w:val="Bulletlist"/>
      </w:pPr>
      <w:r>
        <w:t>W</w:t>
      </w:r>
      <w:r w:rsidR="004B6552" w:rsidRPr="00F21AB7">
        <w:t>e recom</w:t>
      </w:r>
      <w:r w:rsidR="004B6552">
        <w:t xml:space="preserve">mend </w:t>
      </w:r>
      <w:r w:rsidR="00FC4489">
        <w:t>DSS</w:t>
      </w:r>
      <w:r w:rsidR="005F1982">
        <w:t xml:space="preserve"> consider</w:t>
      </w:r>
      <w:r w:rsidR="00684519">
        <w:t>s</w:t>
      </w:r>
      <w:r w:rsidR="005F1982">
        <w:t xml:space="preserve"> how best to encourage and support </w:t>
      </w:r>
      <w:r w:rsidR="00526425">
        <w:t>smaller org</w:t>
      </w:r>
      <w:r w:rsidR="005F1982">
        <w:t xml:space="preserve">anisations and those servicing regional and remote areas to apply </w:t>
      </w:r>
      <w:r>
        <w:t xml:space="preserve">for </w:t>
      </w:r>
      <w:r w:rsidR="005F1982">
        <w:t xml:space="preserve">and deliver the </w:t>
      </w:r>
      <w:r>
        <w:t>p</w:t>
      </w:r>
      <w:r w:rsidR="005F1982" w:rsidRPr="00F21AB7">
        <w:t>rogram</w:t>
      </w:r>
      <w:r>
        <w:t xml:space="preserve"> through</w:t>
      </w:r>
      <w:r w:rsidR="00BF6BB1">
        <w:t xml:space="preserve">: </w:t>
      </w:r>
    </w:p>
    <w:p w14:paraId="5E077B87" w14:textId="42D6773C" w:rsidR="00BF6BB1" w:rsidRDefault="00F21AB7" w:rsidP="00E538BB">
      <w:pPr>
        <w:pStyle w:val="2ndlevelbullet"/>
      </w:pPr>
      <w:r>
        <w:t xml:space="preserve">providing </w:t>
      </w:r>
      <w:r w:rsidR="00871BA3">
        <w:t xml:space="preserve">additional funding to </w:t>
      </w:r>
      <w:r w:rsidR="004B6552">
        <w:t>and allowing for higher grant allocations in some communities to account</w:t>
      </w:r>
      <w:r w:rsidR="00871BA3">
        <w:t xml:space="preserve"> for</w:t>
      </w:r>
      <w:r w:rsidR="004B6552">
        <w:t xml:space="preserve"> the higher</w:t>
      </w:r>
      <w:r w:rsidR="00871BA3">
        <w:t xml:space="preserve"> costs associated with construction in regional and remote areas</w:t>
      </w:r>
    </w:p>
    <w:p w14:paraId="601AD6C3" w14:textId="47F7F780" w:rsidR="00871BA3" w:rsidRDefault="00F21AB7" w:rsidP="00E538BB">
      <w:pPr>
        <w:pStyle w:val="2ndlevelbullet"/>
      </w:pPr>
      <w:r>
        <w:t xml:space="preserve">providing </w:t>
      </w:r>
      <w:r w:rsidR="00871BA3">
        <w:t xml:space="preserve">grant-writing training, forums and support to smaller organisations </w:t>
      </w:r>
      <w:r w:rsidR="004B6552">
        <w:t>that</w:t>
      </w:r>
      <w:r w:rsidR="00871BA3">
        <w:t xml:space="preserve"> may not have in-house capacity</w:t>
      </w:r>
    </w:p>
    <w:p w14:paraId="00ADE630" w14:textId="74BC74B2" w:rsidR="001030B1" w:rsidRDefault="00F21AB7" w:rsidP="00E538BB">
      <w:pPr>
        <w:pStyle w:val="2ndlevelbullet"/>
      </w:pPr>
      <w:r>
        <w:t xml:space="preserve">encouraging </w:t>
      </w:r>
      <w:r w:rsidR="00C4124D">
        <w:t>smaller organisations to apply through partnerships with larger organisations</w:t>
      </w:r>
      <w:r w:rsidR="00137344">
        <w:t xml:space="preserve">, perhaps through </w:t>
      </w:r>
      <w:r w:rsidR="00137344" w:rsidRPr="00137344">
        <w:t xml:space="preserve">additional funding or creating forums that bring small and </w:t>
      </w:r>
      <w:r w:rsidR="004B6552">
        <w:t>large</w:t>
      </w:r>
      <w:r w:rsidR="00137344" w:rsidRPr="00137344">
        <w:t xml:space="preserve"> organisations together</w:t>
      </w:r>
      <w:r w:rsidR="004B6552">
        <w:t xml:space="preserve"> to form consortia</w:t>
      </w:r>
      <w:r w:rsidR="00137344">
        <w:t>.</w:t>
      </w:r>
    </w:p>
    <w:p w14:paraId="2A646FC5" w14:textId="3A72983E" w:rsidR="007A75C7" w:rsidRDefault="007A75C7" w:rsidP="006A345D">
      <w:pPr>
        <w:pStyle w:val="Appendixheading"/>
      </w:pPr>
      <w:bookmarkStart w:id="35" w:name="_Ref130820743"/>
      <w:bookmarkStart w:id="36" w:name="_Toc147910412"/>
      <w:r>
        <w:lastRenderedPageBreak/>
        <w:t xml:space="preserve">Appendix 1: Recruitment </w:t>
      </w:r>
      <w:r w:rsidR="004348C0">
        <w:t>s</w:t>
      </w:r>
      <w:r>
        <w:t>creener</w:t>
      </w:r>
      <w:bookmarkEnd w:id="35"/>
      <w:bookmarkEnd w:id="36"/>
    </w:p>
    <w:p w14:paraId="6A20921C" w14:textId="5FADE1CB" w:rsidR="00497CEB" w:rsidRDefault="00497CEB" w:rsidP="00497CEB">
      <w:pPr>
        <w:pStyle w:val="BodyHeadingBlue"/>
      </w:pPr>
      <w:bookmarkStart w:id="37" w:name="_Ref130820765"/>
      <w:r>
        <w:t>Recruitment Specifications:</w:t>
      </w:r>
    </w:p>
    <w:p w14:paraId="7E9234B1" w14:textId="2CBC03A3" w:rsidR="00497CEB" w:rsidRDefault="00497CEB" w:rsidP="00497CEB">
      <w:r>
        <w:t xml:space="preserve">Six online focus groups </w:t>
      </w:r>
      <w:r w:rsidRPr="00B9655C">
        <w:t>of</w:t>
      </w:r>
      <w:r w:rsidRPr="00C94993">
        <w:t xml:space="preserve"> 90 minutes</w:t>
      </w:r>
      <w:r w:rsidRPr="00B9655C">
        <w:t xml:space="preserve"> </w:t>
      </w:r>
      <w:r>
        <w:t xml:space="preserve">(6-8 per group). Participants should have relevant expertise in the particular cohort for discussion as well as being from a mix of states and territories. </w:t>
      </w:r>
    </w:p>
    <w:p w14:paraId="49FC5DD7" w14:textId="43E4445B" w:rsidR="00497CEB" w:rsidRPr="006370DF" w:rsidRDefault="00497CEB" w:rsidP="00497CEB">
      <w:pPr>
        <w:pStyle w:val="Bulletlist"/>
        <w:numPr>
          <w:ilvl w:val="0"/>
          <w:numId w:val="0"/>
        </w:numPr>
      </w:pPr>
      <w:r w:rsidRPr="006370DF">
        <w:t xml:space="preserve">Recruit </w:t>
      </w:r>
      <w:r>
        <w:t>9</w:t>
      </w:r>
      <w:r w:rsidRPr="006370DF">
        <w:t xml:space="preserve"> participants per group, expecting </w:t>
      </w:r>
      <w:r w:rsidRPr="00DC2D56">
        <w:t>6-8</w:t>
      </w:r>
      <w:r w:rsidRPr="006370DF">
        <w:t xml:space="preserve"> to attend. </w:t>
      </w:r>
    </w:p>
    <w:tbl>
      <w:tblPr>
        <w:tblStyle w:val="PeakboundTable"/>
        <w:tblW w:w="0" w:type="auto"/>
        <w:tblLook w:val="04A0" w:firstRow="1" w:lastRow="0" w:firstColumn="1" w:lastColumn="0" w:noHBand="0" w:noVBand="1"/>
        <w:tblCaption w:val="Recruitment specifications"/>
        <w:tblDescription w:val="Table showing the recruitment specification by cohorts"/>
      </w:tblPr>
      <w:tblGrid>
        <w:gridCol w:w="1134"/>
        <w:gridCol w:w="1370"/>
        <w:gridCol w:w="1370"/>
        <w:gridCol w:w="1370"/>
        <w:gridCol w:w="1370"/>
        <w:gridCol w:w="1370"/>
        <w:gridCol w:w="1370"/>
      </w:tblGrid>
      <w:tr w:rsidR="00497CEB" w:rsidRPr="00497CEB" w14:paraId="310AAAB2" w14:textId="77777777" w:rsidTr="00497CEB">
        <w:trPr>
          <w:cnfStyle w:val="100000000000" w:firstRow="1" w:lastRow="0" w:firstColumn="0" w:lastColumn="0" w:oddVBand="0" w:evenVBand="0" w:oddHBand="0" w:evenHBand="0" w:firstRowFirstColumn="0" w:firstRowLastColumn="0" w:lastRowFirstColumn="0" w:lastRowLastColumn="0"/>
        </w:trPr>
        <w:tc>
          <w:tcPr>
            <w:tcW w:w="1134" w:type="dxa"/>
          </w:tcPr>
          <w:p w14:paraId="71A8DE8A" w14:textId="77777777" w:rsidR="00497CEB" w:rsidRPr="00497CEB" w:rsidRDefault="00497CEB" w:rsidP="00AE65D5">
            <w:pPr>
              <w:rPr>
                <w:b/>
                <w:bCs/>
                <w:sz w:val="20"/>
                <w:szCs w:val="20"/>
              </w:rPr>
            </w:pPr>
          </w:p>
        </w:tc>
        <w:tc>
          <w:tcPr>
            <w:tcW w:w="1370" w:type="dxa"/>
          </w:tcPr>
          <w:p w14:paraId="766E4160" w14:textId="77777777" w:rsidR="00497CEB" w:rsidRPr="00497CEB" w:rsidRDefault="00497CEB" w:rsidP="00AE65D5">
            <w:pPr>
              <w:rPr>
                <w:b/>
                <w:bCs/>
                <w:sz w:val="20"/>
                <w:szCs w:val="20"/>
              </w:rPr>
            </w:pPr>
            <w:r w:rsidRPr="00497CEB">
              <w:rPr>
                <w:b/>
                <w:bCs/>
                <w:sz w:val="20"/>
                <w:szCs w:val="20"/>
              </w:rPr>
              <w:t>Focus Group 1</w:t>
            </w:r>
          </w:p>
        </w:tc>
        <w:tc>
          <w:tcPr>
            <w:tcW w:w="1370" w:type="dxa"/>
          </w:tcPr>
          <w:p w14:paraId="7ECEF9C8" w14:textId="77777777" w:rsidR="00497CEB" w:rsidRPr="00497CEB" w:rsidRDefault="00497CEB" w:rsidP="00AE65D5">
            <w:pPr>
              <w:rPr>
                <w:b/>
                <w:bCs/>
                <w:sz w:val="20"/>
                <w:szCs w:val="20"/>
              </w:rPr>
            </w:pPr>
            <w:r w:rsidRPr="00497CEB">
              <w:rPr>
                <w:b/>
                <w:bCs/>
                <w:sz w:val="20"/>
                <w:szCs w:val="20"/>
              </w:rPr>
              <w:t>Focus Group 2</w:t>
            </w:r>
          </w:p>
        </w:tc>
        <w:tc>
          <w:tcPr>
            <w:tcW w:w="1370" w:type="dxa"/>
          </w:tcPr>
          <w:p w14:paraId="65515BE0" w14:textId="77777777" w:rsidR="00497CEB" w:rsidRPr="00497CEB" w:rsidRDefault="00497CEB" w:rsidP="00AE65D5">
            <w:pPr>
              <w:rPr>
                <w:b/>
                <w:bCs/>
                <w:sz w:val="20"/>
                <w:szCs w:val="20"/>
              </w:rPr>
            </w:pPr>
            <w:r w:rsidRPr="00497CEB">
              <w:rPr>
                <w:b/>
                <w:bCs/>
                <w:sz w:val="20"/>
                <w:szCs w:val="20"/>
              </w:rPr>
              <w:t>Focus Group 3</w:t>
            </w:r>
          </w:p>
        </w:tc>
        <w:tc>
          <w:tcPr>
            <w:tcW w:w="1370" w:type="dxa"/>
          </w:tcPr>
          <w:p w14:paraId="7D3E81B4" w14:textId="77777777" w:rsidR="00497CEB" w:rsidRPr="00497CEB" w:rsidRDefault="00497CEB" w:rsidP="00AE65D5">
            <w:pPr>
              <w:rPr>
                <w:b/>
                <w:bCs/>
                <w:sz w:val="20"/>
                <w:szCs w:val="20"/>
              </w:rPr>
            </w:pPr>
            <w:r w:rsidRPr="00497CEB">
              <w:rPr>
                <w:b/>
                <w:bCs/>
                <w:sz w:val="20"/>
                <w:szCs w:val="20"/>
              </w:rPr>
              <w:t>Focus Group 4</w:t>
            </w:r>
          </w:p>
        </w:tc>
        <w:tc>
          <w:tcPr>
            <w:tcW w:w="1370" w:type="dxa"/>
          </w:tcPr>
          <w:p w14:paraId="6202D4B8" w14:textId="77777777" w:rsidR="00497CEB" w:rsidRPr="00497CEB" w:rsidRDefault="00497CEB" w:rsidP="00AE65D5">
            <w:pPr>
              <w:rPr>
                <w:b/>
                <w:bCs/>
                <w:sz w:val="20"/>
                <w:szCs w:val="20"/>
              </w:rPr>
            </w:pPr>
            <w:r w:rsidRPr="00497CEB">
              <w:rPr>
                <w:b/>
                <w:bCs/>
                <w:sz w:val="20"/>
                <w:szCs w:val="20"/>
              </w:rPr>
              <w:t>Focus Group 5</w:t>
            </w:r>
          </w:p>
        </w:tc>
        <w:tc>
          <w:tcPr>
            <w:tcW w:w="1370" w:type="dxa"/>
          </w:tcPr>
          <w:p w14:paraId="21A77A47" w14:textId="77777777" w:rsidR="00497CEB" w:rsidRPr="00497CEB" w:rsidRDefault="00497CEB" w:rsidP="00AE65D5">
            <w:pPr>
              <w:rPr>
                <w:b/>
                <w:bCs/>
                <w:sz w:val="20"/>
                <w:szCs w:val="20"/>
              </w:rPr>
            </w:pPr>
            <w:r w:rsidRPr="00497CEB">
              <w:rPr>
                <w:b/>
                <w:bCs/>
                <w:sz w:val="20"/>
                <w:szCs w:val="20"/>
              </w:rPr>
              <w:t>Focus Group 6</w:t>
            </w:r>
          </w:p>
        </w:tc>
      </w:tr>
      <w:tr w:rsidR="00497CEB" w:rsidRPr="00497CEB" w14:paraId="40E4A228" w14:textId="77777777" w:rsidTr="00497CEB">
        <w:trPr>
          <w:cnfStyle w:val="000000100000" w:firstRow="0" w:lastRow="0" w:firstColumn="0" w:lastColumn="0" w:oddVBand="0" w:evenVBand="0" w:oddHBand="1" w:evenHBand="0" w:firstRowFirstColumn="0" w:firstRowLastColumn="0" w:lastRowFirstColumn="0" w:lastRowLastColumn="0"/>
        </w:trPr>
        <w:tc>
          <w:tcPr>
            <w:tcW w:w="1134" w:type="dxa"/>
          </w:tcPr>
          <w:p w14:paraId="01432B49" w14:textId="77777777" w:rsidR="00497CEB" w:rsidRPr="00497CEB" w:rsidRDefault="00497CEB" w:rsidP="00AE65D5">
            <w:pPr>
              <w:rPr>
                <w:b/>
                <w:bCs/>
                <w:sz w:val="20"/>
                <w:szCs w:val="20"/>
              </w:rPr>
            </w:pPr>
            <w:r w:rsidRPr="00497CEB">
              <w:rPr>
                <w:b/>
                <w:bCs/>
                <w:sz w:val="20"/>
                <w:szCs w:val="20"/>
              </w:rPr>
              <w:t>Geographic expertise</w:t>
            </w:r>
          </w:p>
        </w:tc>
        <w:tc>
          <w:tcPr>
            <w:tcW w:w="1370" w:type="dxa"/>
          </w:tcPr>
          <w:p w14:paraId="08E040FA" w14:textId="77777777" w:rsidR="00497CEB" w:rsidRPr="00497CEB" w:rsidRDefault="00497CEB" w:rsidP="00AE65D5">
            <w:pPr>
              <w:jc w:val="center"/>
              <w:rPr>
                <w:sz w:val="20"/>
                <w:szCs w:val="20"/>
              </w:rPr>
            </w:pPr>
            <w:r w:rsidRPr="00497CEB">
              <w:rPr>
                <w:sz w:val="20"/>
                <w:szCs w:val="20"/>
              </w:rPr>
              <w:t>Urban</w:t>
            </w:r>
          </w:p>
        </w:tc>
        <w:tc>
          <w:tcPr>
            <w:tcW w:w="1370" w:type="dxa"/>
          </w:tcPr>
          <w:p w14:paraId="1E2965CE" w14:textId="6FACDB5E" w:rsidR="00497CEB" w:rsidRPr="00497CEB" w:rsidRDefault="00497CEB" w:rsidP="00AE65D5">
            <w:pPr>
              <w:jc w:val="center"/>
              <w:rPr>
                <w:sz w:val="20"/>
                <w:szCs w:val="20"/>
              </w:rPr>
            </w:pPr>
            <w:r w:rsidRPr="00497CEB">
              <w:rPr>
                <w:sz w:val="20"/>
                <w:szCs w:val="20"/>
              </w:rPr>
              <w:t>Regional-remote</w:t>
            </w:r>
          </w:p>
        </w:tc>
        <w:tc>
          <w:tcPr>
            <w:tcW w:w="1370" w:type="dxa"/>
          </w:tcPr>
          <w:p w14:paraId="35334A8B" w14:textId="77777777" w:rsidR="00497CEB" w:rsidRPr="00497CEB" w:rsidRDefault="00497CEB" w:rsidP="00AE65D5">
            <w:pPr>
              <w:jc w:val="center"/>
              <w:rPr>
                <w:sz w:val="20"/>
                <w:szCs w:val="20"/>
              </w:rPr>
            </w:pPr>
            <w:r w:rsidRPr="00497CEB">
              <w:rPr>
                <w:sz w:val="20"/>
                <w:szCs w:val="20"/>
              </w:rPr>
              <w:t>Urban</w:t>
            </w:r>
          </w:p>
        </w:tc>
        <w:tc>
          <w:tcPr>
            <w:tcW w:w="1370" w:type="dxa"/>
          </w:tcPr>
          <w:p w14:paraId="0BBF8942" w14:textId="26DC2AA4" w:rsidR="00497CEB" w:rsidRPr="00497CEB" w:rsidRDefault="00497CEB" w:rsidP="00AE65D5">
            <w:pPr>
              <w:jc w:val="center"/>
              <w:rPr>
                <w:sz w:val="20"/>
                <w:szCs w:val="20"/>
              </w:rPr>
            </w:pPr>
            <w:r w:rsidRPr="00497CEB">
              <w:rPr>
                <w:sz w:val="20"/>
                <w:szCs w:val="20"/>
              </w:rPr>
              <w:t>Regional-remote</w:t>
            </w:r>
          </w:p>
        </w:tc>
        <w:tc>
          <w:tcPr>
            <w:tcW w:w="1370" w:type="dxa"/>
          </w:tcPr>
          <w:p w14:paraId="4E016123" w14:textId="77777777" w:rsidR="00497CEB" w:rsidRPr="00497CEB" w:rsidRDefault="00497CEB" w:rsidP="00AE65D5">
            <w:pPr>
              <w:jc w:val="center"/>
              <w:rPr>
                <w:sz w:val="20"/>
                <w:szCs w:val="20"/>
              </w:rPr>
            </w:pPr>
            <w:r w:rsidRPr="00497CEB">
              <w:rPr>
                <w:sz w:val="20"/>
                <w:szCs w:val="20"/>
              </w:rPr>
              <w:t>Urban</w:t>
            </w:r>
          </w:p>
        </w:tc>
        <w:tc>
          <w:tcPr>
            <w:tcW w:w="1370" w:type="dxa"/>
          </w:tcPr>
          <w:p w14:paraId="25F847BB" w14:textId="644A8C86" w:rsidR="00497CEB" w:rsidRPr="00497CEB" w:rsidRDefault="00497CEB" w:rsidP="00AE65D5">
            <w:pPr>
              <w:jc w:val="center"/>
              <w:rPr>
                <w:sz w:val="20"/>
                <w:szCs w:val="20"/>
              </w:rPr>
            </w:pPr>
            <w:r w:rsidRPr="00497CEB">
              <w:rPr>
                <w:sz w:val="20"/>
                <w:szCs w:val="20"/>
              </w:rPr>
              <w:t>Regional-remote</w:t>
            </w:r>
          </w:p>
        </w:tc>
      </w:tr>
      <w:tr w:rsidR="00497CEB" w:rsidRPr="00497CEB" w14:paraId="03526A18" w14:textId="77777777" w:rsidTr="00497CEB">
        <w:tc>
          <w:tcPr>
            <w:tcW w:w="1134" w:type="dxa"/>
          </w:tcPr>
          <w:p w14:paraId="1E2DAE7A" w14:textId="77777777" w:rsidR="00497CEB" w:rsidRPr="00497CEB" w:rsidRDefault="00497CEB" w:rsidP="00AE65D5">
            <w:pPr>
              <w:rPr>
                <w:b/>
                <w:bCs/>
                <w:sz w:val="20"/>
                <w:szCs w:val="20"/>
              </w:rPr>
            </w:pPr>
            <w:r w:rsidRPr="00497CEB">
              <w:rPr>
                <w:b/>
                <w:bCs/>
                <w:sz w:val="20"/>
                <w:szCs w:val="20"/>
              </w:rPr>
              <w:t xml:space="preserve">Cohort expertise </w:t>
            </w:r>
          </w:p>
        </w:tc>
        <w:tc>
          <w:tcPr>
            <w:tcW w:w="1370" w:type="dxa"/>
          </w:tcPr>
          <w:p w14:paraId="598B3EE8" w14:textId="77777777" w:rsidR="00497CEB" w:rsidRPr="00497CEB" w:rsidRDefault="00497CEB" w:rsidP="00AE65D5">
            <w:pPr>
              <w:jc w:val="center"/>
              <w:rPr>
                <w:sz w:val="20"/>
                <w:szCs w:val="20"/>
              </w:rPr>
            </w:pPr>
            <w:r w:rsidRPr="00497CEB">
              <w:rPr>
                <w:sz w:val="20"/>
                <w:szCs w:val="20"/>
              </w:rPr>
              <w:t>Disability</w:t>
            </w:r>
          </w:p>
        </w:tc>
        <w:tc>
          <w:tcPr>
            <w:tcW w:w="1370" w:type="dxa"/>
          </w:tcPr>
          <w:p w14:paraId="4DF93A26" w14:textId="77777777" w:rsidR="00497CEB" w:rsidRPr="00497CEB" w:rsidRDefault="00497CEB" w:rsidP="00AE65D5">
            <w:pPr>
              <w:jc w:val="center"/>
              <w:rPr>
                <w:sz w:val="20"/>
                <w:szCs w:val="20"/>
              </w:rPr>
            </w:pPr>
            <w:r w:rsidRPr="00497CEB">
              <w:rPr>
                <w:sz w:val="20"/>
                <w:szCs w:val="20"/>
              </w:rPr>
              <w:t>Disability</w:t>
            </w:r>
          </w:p>
        </w:tc>
        <w:tc>
          <w:tcPr>
            <w:tcW w:w="1370" w:type="dxa"/>
          </w:tcPr>
          <w:p w14:paraId="6D38A4E9" w14:textId="77777777" w:rsidR="00497CEB" w:rsidRPr="00497CEB" w:rsidRDefault="00497CEB" w:rsidP="00AE65D5">
            <w:pPr>
              <w:jc w:val="center"/>
              <w:rPr>
                <w:sz w:val="20"/>
                <w:szCs w:val="20"/>
              </w:rPr>
            </w:pPr>
            <w:r w:rsidRPr="00497CEB">
              <w:rPr>
                <w:sz w:val="20"/>
                <w:szCs w:val="20"/>
              </w:rPr>
              <w:t>CALD</w:t>
            </w:r>
          </w:p>
        </w:tc>
        <w:tc>
          <w:tcPr>
            <w:tcW w:w="1370" w:type="dxa"/>
          </w:tcPr>
          <w:p w14:paraId="311B6812" w14:textId="77777777" w:rsidR="00497CEB" w:rsidRPr="00497CEB" w:rsidRDefault="00497CEB" w:rsidP="00AE65D5">
            <w:pPr>
              <w:jc w:val="center"/>
              <w:rPr>
                <w:sz w:val="20"/>
                <w:szCs w:val="20"/>
              </w:rPr>
            </w:pPr>
            <w:r w:rsidRPr="00497CEB">
              <w:rPr>
                <w:sz w:val="20"/>
                <w:szCs w:val="20"/>
              </w:rPr>
              <w:t>CALD</w:t>
            </w:r>
          </w:p>
        </w:tc>
        <w:tc>
          <w:tcPr>
            <w:tcW w:w="1370" w:type="dxa"/>
          </w:tcPr>
          <w:p w14:paraId="037443E6" w14:textId="77777777" w:rsidR="00497CEB" w:rsidRPr="00497CEB" w:rsidRDefault="00497CEB" w:rsidP="00AE65D5">
            <w:pPr>
              <w:jc w:val="center"/>
              <w:rPr>
                <w:sz w:val="20"/>
                <w:szCs w:val="20"/>
              </w:rPr>
            </w:pPr>
            <w:r w:rsidRPr="00497CEB">
              <w:rPr>
                <w:sz w:val="20"/>
                <w:szCs w:val="20"/>
              </w:rPr>
              <w:t>First Nations</w:t>
            </w:r>
          </w:p>
        </w:tc>
        <w:tc>
          <w:tcPr>
            <w:tcW w:w="1370" w:type="dxa"/>
          </w:tcPr>
          <w:p w14:paraId="1E5D7B5D" w14:textId="77777777" w:rsidR="00497CEB" w:rsidRPr="00497CEB" w:rsidRDefault="00497CEB" w:rsidP="00AE65D5">
            <w:pPr>
              <w:jc w:val="center"/>
              <w:rPr>
                <w:sz w:val="20"/>
                <w:szCs w:val="20"/>
              </w:rPr>
            </w:pPr>
            <w:r w:rsidRPr="00497CEB">
              <w:rPr>
                <w:sz w:val="20"/>
                <w:szCs w:val="20"/>
              </w:rPr>
              <w:t>First Nations</w:t>
            </w:r>
          </w:p>
        </w:tc>
      </w:tr>
      <w:tr w:rsidR="00497CEB" w:rsidRPr="00497CEB" w14:paraId="7B085F29" w14:textId="77777777" w:rsidTr="00497CEB">
        <w:trPr>
          <w:cnfStyle w:val="000000100000" w:firstRow="0" w:lastRow="0" w:firstColumn="0" w:lastColumn="0" w:oddVBand="0" w:evenVBand="0" w:oddHBand="1" w:evenHBand="0" w:firstRowFirstColumn="0" w:firstRowLastColumn="0" w:lastRowFirstColumn="0" w:lastRowLastColumn="0"/>
          <w:trHeight w:val="770"/>
        </w:trPr>
        <w:tc>
          <w:tcPr>
            <w:tcW w:w="1134" w:type="dxa"/>
          </w:tcPr>
          <w:p w14:paraId="0BBCBCE4" w14:textId="77777777" w:rsidR="00497CEB" w:rsidRPr="00497CEB" w:rsidRDefault="00497CEB" w:rsidP="00AE65D5">
            <w:pPr>
              <w:rPr>
                <w:b/>
                <w:bCs/>
                <w:sz w:val="20"/>
                <w:szCs w:val="20"/>
              </w:rPr>
            </w:pPr>
            <w:r w:rsidRPr="00497CEB">
              <w:rPr>
                <w:b/>
                <w:bCs/>
                <w:sz w:val="20"/>
                <w:szCs w:val="20"/>
              </w:rPr>
              <w:t>Jurisdiction</w:t>
            </w:r>
          </w:p>
        </w:tc>
        <w:tc>
          <w:tcPr>
            <w:tcW w:w="1370" w:type="dxa"/>
          </w:tcPr>
          <w:p w14:paraId="62A723B6" w14:textId="77777777" w:rsidR="00497CEB" w:rsidRPr="00497CEB" w:rsidRDefault="00497CEB" w:rsidP="00AE65D5">
            <w:pPr>
              <w:jc w:val="center"/>
              <w:rPr>
                <w:sz w:val="20"/>
                <w:szCs w:val="20"/>
              </w:rPr>
            </w:pPr>
            <w:r w:rsidRPr="00497CEB">
              <w:rPr>
                <w:sz w:val="20"/>
                <w:szCs w:val="20"/>
              </w:rPr>
              <w:t>Mix of states and territories</w:t>
            </w:r>
          </w:p>
        </w:tc>
        <w:tc>
          <w:tcPr>
            <w:tcW w:w="1370" w:type="dxa"/>
          </w:tcPr>
          <w:p w14:paraId="4111E662" w14:textId="77777777" w:rsidR="00497CEB" w:rsidRPr="00497CEB" w:rsidRDefault="00497CEB" w:rsidP="00AE65D5">
            <w:pPr>
              <w:jc w:val="center"/>
              <w:rPr>
                <w:sz w:val="20"/>
                <w:szCs w:val="20"/>
              </w:rPr>
            </w:pPr>
            <w:r w:rsidRPr="00497CEB">
              <w:rPr>
                <w:sz w:val="20"/>
                <w:szCs w:val="20"/>
              </w:rPr>
              <w:t>Mix of states and territories</w:t>
            </w:r>
          </w:p>
        </w:tc>
        <w:tc>
          <w:tcPr>
            <w:tcW w:w="1370" w:type="dxa"/>
          </w:tcPr>
          <w:p w14:paraId="66C01005" w14:textId="77777777" w:rsidR="00497CEB" w:rsidRPr="00497CEB" w:rsidRDefault="00497CEB" w:rsidP="00AE65D5">
            <w:pPr>
              <w:jc w:val="center"/>
              <w:rPr>
                <w:sz w:val="20"/>
                <w:szCs w:val="20"/>
              </w:rPr>
            </w:pPr>
            <w:r w:rsidRPr="00497CEB">
              <w:rPr>
                <w:sz w:val="20"/>
                <w:szCs w:val="20"/>
              </w:rPr>
              <w:t>Mix of states and territories</w:t>
            </w:r>
          </w:p>
        </w:tc>
        <w:tc>
          <w:tcPr>
            <w:tcW w:w="1370" w:type="dxa"/>
          </w:tcPr>
          <w:p w14:paraId="71338886" w14:textId="77777777" w:rsidR="00497CEB" w:rsidRPr="00497CEB" w:rsidRDefault="00497CEB" w:rsidP="00AE65D5">
            <w:pPr>
              <w:jc w:val="center"/>
              <w:rPr>
                <w:sz w:val="20"/>
                <w:szCs w:val="20"/>
              </w:rPr>
            </w:pPr>
            <w:r w:rsidRPr="00497CEB">
              <w:rPr>
                <w:sz w:val="20"/>
                <w:szCs w:val="20"/>
              </w:rPr>
              <w:t>Mix of states and territories</w:t>
            </w:r>
          </w:p>
        </w:tc>
        <w:tc>
          <w:tcPr>
            <w:tcW w:w="1370" w:type="dxa"/>
          </w:tcPr>
          <w:p w14:paraId="61096E6B" w14:textId="77777777" w:rsidR="00497CEB" w:rsidRPr="00497CEB" w:rsidRDefault="00497CEB" w:rsidP="00AE65D5">
            <w:pPr>
              <w:jc w:val="center"/>
              <w:rPr>
                <w:sz w:val="20"/>
                <w:szCs w:val="20"/>
              </w:rPr>
            </w:pPr>
            <w:r w:rsidRPr="00497CEB">
              <w:rPr>
                <w:sz w:val="20"/>
                <w:szCs w:val="20"/>
              </w:rPr>
              <w:t>Mix of states and territories</w:t>
            </w:r>
          </w:p>
        </w:tc>
        <w:tc>
          <w:tcPr>
            <w:tcW w:w="1370" w:type="dxa"/>
          </w:tcPr>
          <w:p w14:paraId="41DDF4E2" w14:textId="77777777" w:rsidR="00497CEB" w:rsidRPr="00497CEB" w:rsidRDefault="00497CEB" w:rsidP="00AE65D5">
            <w:pPr>
              <w:jc w:val="center"/>
              <w:rPr>
                <w:sz w:val="20"/>
                <w:szCs w:val="20"/>
              </w:rPr>
            </w:pPr>
            <w:r w:rsidRPr="00497CEB">
              <w:rPr>
                <w:sz w:val="20"/>
                <w:szCs w:val="20"/>
              </w:rPr>
              <w:t>Mix of states and territories</w:t>
            </w:r>
          </w:p>
        </w:tc>
      </w:tr>
    </w:tbl>
    <w:p w14:paraId="0B3798AA" w14:textId="77777777" w:rsidR="00497CEB" w:rsidRPr="006370DF" w:rsidRDefault="00497CEB" w:rsidP="00497CEB">
      <w:pPr>
        <w:pStyle w:val="Bulletlist"/>
        <w:numPr>
          <w:ilvl w:val="0"/>
          <w:numId w:val="0"/>
        </w:numPr>
      </w:pPr>
    </w:p>
    <w:p w14:paraId="6EE87378" w14:textId="77777777" w:rsidR="00497CEB" w:rsidRPr="00FC1440" w:rsidRDefault="00497CEB" w:rsidP="00497CEB">
      <w:pPr>
        <w:pStyle w:val="Bulletlist"/>
        <w:numPr>
          <w:ilvl w:val="0"/>
          <w:numId w:val="0"/>
        </w:numPr>
        <w:rPr>
          <w:b/>
          <w:bCs/>
        </w:rPr>
      </w:pPr>
      <w:r w:rsidRPr="00FC1440">
        <w:rPr>
          <w:b/>
          <w:bCs/>
        </w:rPr>
        <w:t>Each specialist group will:</w:t>
      </w:r>
    </w:p>
    <w:p w14:paraId="66A2A7E5" w14:textId="1AFDD623" w:rsidR="00497CEB" w:rsidRDefault="00497CEB" w:rsidP="00497CEB">
      <w:pPr>
        <w:pStyle w:val="Bulletlist"/>
        <w:numPr>
          <w:ilvl w:val="0"/>
          <w:numId w:val="37"/>
        </w:numPr>
        <w:jc w:val="both"/>
      </w:pPr>
      <w:bookmarkStart w:id="38" w:name="_Hlk10453852"/>
      <w:r>
        <w:t>Have expertise working with either First Nations women and children, women and children from CALD backgrounds, and/or women and childre</w:t>
      </w:r>
      <w:r w:rsidRPr="00EA1677">
        <w:t>n who with dis</w:t>
      </w:r>
      <w:r>
        <w:t>ability.</w:t>
      </w:r>
    </w:p>
    <w:p w14:paraId="090FEC36" w14:textId="77777777" w:rsidR="00497CEB" w:rsidRDefault="00497CEB" w:rsidP="00497CEB">
      <w:pPr>
        <w:pStyle w:val="Bulletlist"/>
        <w:numPr>
          <w:ilvl w:val="0"/>
          <w:numId w:val="37"/>
        </w:numPr>
        <w:jc w:val="both"/>
      </w:pPr>
      <w:r>
        <w:t xml:space="preserve">Where possible, participants will also have expertise in family and domestic violence or emergency accommodation/housing. </w:t>
      </w:r>
    </w:p>
    <w:p w14:paraId="42E59C4C" w14:textId="77777777" w:rsidR="00497CEB" w:rsidRPr="00EA1677" w:rsidRDefault="00497CEB" w:rsidP="00497CEB">
      <w:pPr>
        <w:pStyle w:val="Bulletlist"/>
        <w:numPr>
          <w:ilvl w:val="0"/>
          <w:numId w:val="37"/>
        </w:numPr>
        <w:jc w:val="both"/>
      </w:pPr>
      <w:r w:rsidRPr="00EA1677">
        <w:t>A mixture of service providers and advocacy groups.</w:t>
      </w:r>
    </w:p>
    <w:p w14:paraId="7DA9F0CA" w14:textId="170CADF2" w:rsidR="00497CEB" w:rsidRDefault="00497CEB" w:rsidP="00497CEB">
      <w:pPr>
        <w:pStyle w:val="Bulletlist"/>
        <w:numPr>
          <w:ilvl w:val="0"/>
          <w:numId w:val="37"/>
        </w:numPr>
        <w:jc w:val="both"/>
      </w:pPr>
      <w:r w:rsidRPr="00EA1677">
        <w:t>For regio</w:t>
      </w:r>
      <w:r>
        <w:t>nal-remote groups, have a mix of organisations who service both regional, and remote, areas.</w:t>
      </w:r>
    </w:p>
    <w:bookmarkEnd w:id="38"/>
    <w:p w14:paraId="7B8765C6" w14:textId="77777777" w:rsidR="00497CEB" w:rsidRPr="00FC1440" w:rsidRDefault="00497CEB" w:rsidP="00497CEB">
      <w:pPr>
        <w:pStyle w:val="Bulletlist"/>
        <w:numPr>
          <w:ilvl w:val="0"/>
          <w:numId w:val="0"/>
        </w:numPr>
        <w:rPr>
          <w:b/>
        </w:rPr>
      </w:pPr>
      <w:r w:rsidRPr="00FC1440">
        <w:rPr>
          <w:b/>
        </w:rPr>
        <w:t xml:space="preserve">Exclusions (Please exclude the following people): </w:t>
      </w:r>
    </w:p>
    <w:p w14:paraId="14584874" w14:textId="77777777" w:rsidR="00497CEB" w:rsidRDefault="00497CEB" w:rsidP="00497CEB">
      <w:pPr>
        <w:pStyle w:val="Bulletlist"/>
        <w:numPr>
          <w:ilvl w:val="0"/>
          <w:numId w:val="37"/>
        </w:numPr>
        <w:spacing w:after="0" w:line="240" w:lineRule="auto"/>
      </w:pPr>
      <w:bookmarkStart w:id="39" w:name="_Hlk125554524"/>
      <w:r>
        <w:t>Organisations that do not have a specific mandate for, or expertise in, any of the three cohorts.</w:t>
      </w:r>
    </w:p>
    <w:bookmarkEnd w:id="39"/>
    <w:p w14:paraId="19E056CB" w14:textId="77777777" w:rsidR="00497CEB" w:rsidRDefault="00497CEB" w:rsidP="00497CEB">
      <w:pPr>
        <w:pStyle w:val="Bulletlist"/>
        <w:numPr>
          <w:ilvl w:val="0"/>
          <w:numId w:val="37"/>
        </w:numPr>
        <w:spacing w:after="0" w:line="240" w:lineRule="auto"/>
      </w:pPr>
      <w:r>
        <w:br w:type="page"/>
      </w:r>
    </w:p>
    <w:p w14:paraId="4E6E7C9E" w14:textId="5C79DD5A" w:rsidR="00497CEB" w:rsidRDefault="00497CEB" w:rsidP="00497CEB">
      <w:pPr>
        <w:pStyle w:val="BodyHeadingBlue"/>
      </w:pPr>
      <w:r>
        <w:lastRenderedPageBreak/>
        <w:t>Recruitment Screener</w:t>
      </w:r>
    </w:p>
    <w:p w14:paraId="7FAF8F30" w14:textId="77777777" w:rsidR="00497CEB" w:rsidRDefault="00497CEB" w:rsidP="00497CEB">
      <w:pPr>
        <w:rPr>
          <w:lang w:val="en-GB"/>
        </w:rPr>
      </w:pPr>
      <w:r w:rsidRPr="00170237">
        <w:rPr>
          <w:lang w:val="en-GB"/>
        </w:rPr>
        <w:t xml:space="preserve">Good morning / afternoon / evening. My name is </w:t>
      </w:r>
      <w:r w:rsidRPr="00170237">
        <w:rPr>
          <w:b/>
          <w:lang w:val="en-GB"/>
        </w:rPr>
        <w:t>[FULL NAME]</w:t>
      </w:r>
      <w:r w:rsidRPr="00170237">
        <w:rPr>
          <w:lang w:val="en-GB"/>
        </w:rPr>
        <w:t xml:space="preserve"> from</w:t>
      </w:r>
      <w:r>
        <w:rPr>
          <w:lang w:val="en-GB"/>
        </w:rPr>
        <w:t xml:space="preserve"> CIRCA, which stands for the Cultural and Indigenous Research Centre Australia</w:t>
      </w:r>
      <w:r w:rsidRPr="00170237">
        <w:rPr>
          <w:lang w:val="en-GB"/>
        </w:rPr>
        <w:t xml:space="preserve">. </w:t>
      </w:r>
      <w:r>
        <w:rPr>
          <w:lang w:val="en-GB"/>
        </w:rPr>
        <w:t>May I please speak with…?</w:t>
      </w:r>
    </w:p>
    <w:p w14:paraId="0D1523D2" w14:textId="0DF91527" w:rsidR="00497CEB" w:rsidRDefault="00497CEB" w:rsidP="00497CEB">
      <w:pPr>
        <w:rPr>
          <w:lang w:val="en-GB"/>
        </w:rPr>
      </w:pPr>
      <w:r w:rsidRPr="000332C8">
        <w:rPr>
          <w:b/>
          <w:lang w:val="en-GB"/>
        </w:rPr>
        <w:t xml:space="preserve">CONTINUE: </w:t>
      </w:r>
      <w:r w:rsidRPr="00170237">
        <w:rPr>
          <w:lang w:val="en-GB"/>
        </w:rPr>
        <w:t>I</w:t>
      </w:r>
      <w:r>
        <w:rPr>
          <w:lang w:val="en-GB"/>
        </w:rPr>
        <w:t>’</w:t>
      </w:r>
      <w:r w:rsidRPr="00170237">
        <w:rPr>
          <w:lang w:val="en-GB"/>
        </w:rPr>
        <w:t xml:space="preserve">m calling to invite you to participate in </w:t>
      </w:r>
      <w:r>
        <w:rPr>
          <w:lang w:val="en-GB"/>
        </w:rPr>
        <w:t>some</w:t>
      </w:r>
      <w:r w:rsidRPr="00170237">
        <w:rPr>
          <w:lang w:val="en-GB"/>
        </w:rPr>
        <w:t xml:space="preserve"> research </w:t>
      </w:r>
      <w:r>
        <w:rPr>
          <w:lang w:val="en-GB"/>
        </w:rPr>
        <w:t>with</w:t>
      </w:r>
      <w:r w:rsidRPr="00170237">
        <w:rPr>
          <w:lang w:val="en-GB"/>
        </w:rPr>
        <w:t xml:space="preserve"> </w:t>
      </w:r>
      <w:r>
        <w:rPr>
          <w:lang w:val="en-GB"/>
        </w:rPr>
        <w:t>CIRCA, an independent research company, on behalf of the Department of Social Services. They are conducting consultations with different organisations to help inform the design of the Safe Places Inclusion Round</w:t>
      </w:r>
      <w:r w:rsidRPr="003D3A47">
        <w:rPr>
          <w:lang w:val="en-GB"/>
        </w:rPr>
        <w:t>.</w:t>
      </w:r>
      <w:r>
        <w:rPr>
          <w:lang w:val="en-GB"/>
        </w:rPr>
        <w:t xml:space="preserve"> </w:t>
      </w:r>
      <w:r w:rsidRPr="00C94993">
        <w:rPr>
          <w:lang w:val="en-GB"/>
        </w:rPr>
        <w:t>This is genuine community research to explore your views, opinions, and experiences.</w:t>
      </w:r>
      <w:r>
        <w:rPr>
          <w:lang w:val="en-GB"/>
        </w:rPr>
        <w:t xml:space="preserve"> </w:t>
      </w:r>
    </w:p>
    <w:p w14:paraId="7F0BDAAB" w14:textId="77777777" w:rsidR="00497CEB" w:rsidRPr="00395684" w:rsidRDefault="00497CEB" w:rsidP="00497CEB">
      <w:pPr>
        <w:rPr>
          <w:rFonts w:cs="Arial"/>
        </w:rPr>
      </w:pPr>
      <w:r>
        <w:rPr>
          <w:lang w:val="en-GB"/>
        </w:rPr>
        <w:t xml:space="preserve">Safe Places is a capital works grant program to build new emergency accommodation for women and children leaving family and domestic violence and provide safe, private places for them to receive holistic support. A new round called the Inclusion Round is being designed and </w:t>
      </w:r>
      <w:r w:rsidRPr="00A44CED">
        <w:rPr>
          <w:rFonts w:cs="Arial"/>
        </w:rPr>
        <w:t xml:space="preserve">will focus on improving access to </w:t>
      </w:r>
      <w:r>
        <w:rPr>
          <w:rFonts w:cs="Arial"/>
        </w:rPr>
        <w:t xml:space="preserve">appropriate </w:t>
      </w:r>
      <w:r w:rsidRPr="00A44CED">
        <w:rPr>
          <w:rFonts w:cs="Arial"/>
        </w:rPr>
        <w:t xml:space="preserve">emergency accommodation for </w:t>
      </w:r>
      <w:r>
        <w:rPr>
          <w:rFonts w:cs="Arial"/>
        </w:rPr>
        <w:t xml:space="preserve">First Nations </w:t>
      </w:r>
      <w:r w:rsidRPr="00A44CED">
        <w:rPr>
          <w:rFonts w:cs="Arial"/>
        </w:rPr>
        <w:t>women and children</w:t>
      </w:r>
      <w:r>
        <w:rPr>
          <w:rFonts w:cs="Arial"/>
        </w:rPr>
        <w:t>, women and children</w:t>
      </w:r>
      <w:r w:rsidRPr="00A44CED">
        <w:rPr>
          <w:rFonts w:cs="Arial"/>
        </w:rPr>
        <w:t xml:space="preserve"> fro</w:t>
      </w:r>
      <w:r>
        <w:rPr>
          <w:rFonts w:cs="Arial"/>
        </w:rPr>
        <w:t xml:space="preserve">m </w:t>
      </w:r>
      <w:r w:rsidRPr="00A44CED">
        <w:rPr>
          <w:rFonts w:cs="Arial"/>
        </w:rPr>
        <w:t xml:space="preserve">culturally and linguistically diverse (CALD) </w:t>
      </w:r>
      <w:r>
        <w:rPr>
          <w:rFonts w:cs="Arial"/>
        </w:rPr>
        <w:t>backgrounds</w:t>
      </w:r>
      <w:r w:rsidRPr="00A44CED">
        <w:rPr>
          <w:rFonts w:cs="Arial"/>
        </w:rPr>
        <w:t>, and women and children with disability.</w:t>
      </w:r>
    </w:p>
    <w:p w14:paraId="04D0D8D9" w14:textId="4A2DA7A0" w:rsidR="00497CEB" w:rsidRDefault="00497CEB" w:rsidP="00497CEB">
      <w:pPr>
        <w:rPr>
          <w:lang w:val="en-GB"/>
        </w:rPr>
      </w:pPr>
      <w:r>
        <w:rPr>
          <w:lang w:val="en-GB"/>
        </w:rPr>
        <w:t xml:space="preserve">We’re looking to hold online focus groups with </w:t>
      </w:r>
      <w:r>
        <w:t xml:space="preserve">service providers and advocates who work with people from these backgrounds and those with lived experiences, particularly in relation to </w:t>
      </w:r>
      <w:r w:rsidRPr="00E274BC">
        <w:t>housing an</w:t>
      </w:r>
      <w:r>
        <w:t>d family and domestic violence</w:t>
      </w:r>
      <w:r>
        <w:rPr>
          <w:lang w:val="en-GB"/>
        </w:rPr>
        <w:t>. The focus group will last around 90 minutes, with around 5</w:t>
      </w:r>
      <w:r w:rsidRPr="00DC2D56">
        <w:rPr>
          <w:lang w:val="en-GB"/>
        </w:rPr>
        <w:t>-7</w:t>
      </w:r>
      <w:r>
        <w:rPr>
          <w:lang w:val="en-GB"/>
        </w:rPr>
        <w:t xml:space="preserve"> other people. These discussions are relaxed and informal, and the Department of Social Services will not be in attendance. A de-identified summary of feedback will be sent to the department following the session. </w:t>
      </w:r>
    </w:p>
    <w:p w14:paraId="5B1BA0B9" w14:textId="77777777" w:rsidR="00497CEB" w:rsidRPr="00170237" w:rsidRDefault="00497CEB" w:rsidP="00497CEB">
      <w:pPr>
        <w:rPr>
          <w:highlight w:val="yellow"/>
          <w:lang w:val="en-GB"/>
        </w:rPr>
      </w:pPr>
      <w:r>
        <w:rPr>
          <w:lang w:val="en-GB"/>
        </w:rPr>
        <w:t>Would you</w:t>
      </w:r>
      <w:r w:rsidRPr="00170237">
        <w:rPr>
          <w:lang w:val="en-GB"/>
        </w:rPr>
        <w:t xml:space="preserve"> be interested in participating? </w:t>
      </w:r>
    </w:p>
    <w:p w14:paraId="4DF1B345" w14:textId="77777777" w:rsidR="00497CEB" w:rsidRDefault="00497CEB" w:rsidP="00497CEB">
      <w:pPr>
        <w:rPr>
          <w:lang w:val="en-GB"/>
        </w:rPr>
      </w:pPr>
      <w:r w:rsidRPr="00C055D3">
        <w:rPr>
          <w:b/>
          <w:lang w:val="en-GB"/>
        </w:rPr>
        <w:t xml:space="preserve">IF YES, CONTINUE: </w:t>
      </w:r>
      <w:r>
        <w:rPr>
          <w:lang w:val="en-GB"/>
        </w:rPr>
        <w:t xml:space="preserve">I just need to ask a few questions to check that you qualify to participate, and because we want to ensure we have a good cross-section of people taking part in the discussions. </w:t>
      </w:r>
    </w:p>
    <w:p w14:paraId="4C7744A5" w14:textId="77777777" w:rsidR="00497CEB" w:rsidRDefault="00497CEB" w:rsidP="00497CEB">
      <w:pPr>
        <w:rPr>
          <w:lang w:val="en-GB"/>
        </w:rPr>
      </w:pPr>
      <w:r>
        <w:rPr>
          <w:lang w:val="en-GB"/>
        </w:rPr>
        <w:t xml:space="preserve">Shall we go ahead? </w:t>
      </w:r>
    </w:p>
    <w:p w14:paraId="16913AF8" w14:textId="77777777" w:rsidR="00497CEB" w:rsidRDefault="00497CEB" w:rsidP="00497CEB">
      <w:pPr>
        <w:rPr>
          <w:lang w:val="en-GB"/>
        </w:rPr>
      </w:pPr>
      <w:r w:rsidRPr="00C055D3">
        <w:rPr>
          <w:b/>
          <w:lang w:val="en-GB"/>
        </w:rPr>
        <w:t>IF YES, CONTINUE</w:t>
      </w:r>
      <w:r>
        <w:rPr>
          <w:lang w:val="en-GB"/>
        </w:rPr>
        <w:t xml:space="preserve">: </w:t>
      </w:r>
    </w:p>
    <w:p w14:paraId="5C900B71" w14:textId="77777777" w:rsidR="00497CEB" w:rsidRDefault="00497CEB" w:rsidP="00124A7D">
      <w:pPr>
        <w:pStyle w:val="Bulletlist"/>
        <w:numPr>
          <w:ilvl w:val="0"/>
          <w:numId w:val="39"/>
        </w:numPr>
      </w:pPr>
      <w:r>
        <w:t>Which of the following cohorts do you have expertise in working with/providing services for?</w:t>
      </w:r>
    </w:p>
    <w:p w14:paraId="1D13D59B" w14:textId="77777777" w:rsidR="00497CEB" w:rsidRDefault="00497CEB" w:rsidP="00497CEB">
      <w:pPr>
        <w:pStyle w:val="Bulletlist"/>
        <w:numPr>
          <w:ilvl w:val="0"/>
          <w:numId w:val="40"/>
        </w:numPr>
        <w:jc w:val="both"/>
      </w:pPr>
      <w:r>
        <w:t>First Nations peoples</w:t>
      </w:r>
    </w:p>
    <w:p w14:paraId="1CF64FD6" w14:textId="7C5AA0A1" w:rsidR="00497CEB" w:rsidRDefault="00497CEB" w:rsidP="00497CEB">
      <w:pPr>
        <w:pStyle w:val="Bulletlist"/>
        <w:numPr>
          <w:ilvl w:val="0"/>
          <w:numId w:val="40"/>
        </w:numPr>
        <w:jc w:val="both"/>
      </w:pPr>
      <w:r>
        <w:t>Culturally and Linguistically Diverse communities</w:t>
      </w:r>
    </w:p>
    <w:p w14:paraId="306184E2" w14:textId="77777777" w:rsidR="00497CEB" w:rsidRDefault="00497CEB" w:rsidP="00497CEB">
      <w:pPr>
        <w:pStyle w:val="Bulletlist"/>
        <w:numPr>
          <w:ilvl w:val="0"/>
          <w:numId w:val="40"/>
        </w:numPr>
        <w:jc w:val="both"/>
      </w:pPr>
      <w:r>
        <w:t>People with disability</w:t>
      </w:r>
    </w:p>
    <w:p w14:paraId="28339829" w14:textId="77777777" w:rsidR="00497CEB" w:rsidRDefault="00497CEB" w:rsidP="00497CEB">
      <w:pPr>
        <w:pStyle w:val="Bulletlist"/>
        <w:numPr>
          <w:ilvl w:val="0"/>
          <w:numId w:val="40"/>
        </w:numPr>
        <w:jc w:val="both"/>
      </w:pPr>
      <w:r>
        <w:t xml:space="preserve">None of these – TERMINATE </w:t>
      </w:r>
    </w:p>
    <w:p w14:paraId="5E61305D" w14:textId="77777777" w:rsidR="00497CEB" w:rsidRDefault="00497CEB" w:rsidP="00124A7D">
      <w:pPr>
        <w:pStyle w:val="Bulletlist"/>
        <w:numPr>
          <w:ilvl w:val="0"/>
          <w:numId w:val="39"/>
        </w:numPr>
      </w:pPr>
      <w:r>
        <w:t xml:space="preserve">Do you have expertise in family and domestic violence or emergency accommodation/housing? </w:t>
      </w:r>
    </w:p>
    <w:p w14:paraId="518946F6" w14:textId="77777777" w:rsidR="00497CEB" w:rsidRDefault="00497CEB" w:rsidP="00497CEB">
      <w:pPr>
        <w:pStyle w:val="Bulletlist"/>
        <w:numPr>
          <w:ilvl w:val="1"/>
          <w:numId w:val="39"/>
        </w:numPr>
        <w:jc w:val="both"/>
      </w:pPr>
      <w:r>
        <w:lastRenderedPageBreak/>
        <w:t>Yes, family and domestic violence</w:t>
      </w:r>
    </w:p>
    <w:p w14:paraId="1A7429C8" w14:textId="77777777" w:rsidR="00497CEB" w:rsidRDefault="00497CEB" w:rsidP="00497CEB">
      <w:pPr>
        <w:pStyle w:val="Bulletlist"/>
        <w:numPr>
          <w:ilvl w:val="1"/>
          <w:numId w:val="39"/>
        </w:numPr>
        <w:jc w:val="both"/>
      </w:pPr>
      <w:r>
        <w:t>Yes, emergency accommodation/housing</w:t>
      </w:r>
    </w:p>
    <w:p w14:paraId="75738C09" w14:textId="77777777" w:rsidR="00497CEB" w:rsidRDefault="00497CEB" w:rsidP="00497CEB">
      <w:pPr>
        <w:pStyle w:val="Bulletlist"/>
        <w:numPr>
          <w:ilvl w:val="1"/>
          <w:numId w:val="39"/>
        </w:numPr>
        <w:jc w:val="both"/>
      </w:pPr>
      <w:r>
        <w:t>Both</w:t>
      </w:r>
    </w:p>
    <w:p w14:paraId="6CD01FD1" w14:textId="77777777" w:rsidR="00497CEB" w:rsidRDefault="00497CEB" w:rsidP="00497CEB">
      <w:pPr>
        <w:pStyle w:val="Bulletlist"/>
        <w:numPr>
          <w:ilvl w:val="1"/>
          <w:numId w:val="39"/>
        </w:numPr>
        <w:jc w:val="both"/>
      </w:pPr>
      <w:r>
        <w:t>Neither</w:t>
      </w:r>
    </w:p>
    <w:p w14:paraId="07617A28" w14:textId="77777777" w:rsidR="00497CEB" w:rsidRDefault="00497CEB" w:rsidP="00124A7D">
      <w:pPr>
        <w:pStyle w:val="Bulletlist"/>
        <w:numPr>
          <w:ilvl w:val="0"/>
          <w:numId w:val="39"/>
        </w:numPr>
      </w:pPr>
      <w:r>
        <w:t xml:space="preserve">Which of the following best describes what your organisation specialises in? </w:t>
      </w:r>
    </w:p>
    <w:p w14:paraId="4198134B" w14:textId="77777777" w:rsidR="00497CEB" w:rsidRDefault="00497CEB" w:rsidP="00497CEB">
      <w:pPr>
        <w:pStyle w:val="Bulletlist"/>
        <w:numPr>
          <w:ilvl w:val="1"/>
          <w:numId w:val="39"/>
        </w:numPr>
        <w:jc w:val="both"/>
      </w:pPr>
      <w:r>
        <w:t xml:space="preserve">Advocacy </w:t>
      </w:r>
    </w:p>
    <w:p w14:paraId="0228F805" w14:textId="77777777" w:rsidR="00497CEB" w:rsidRDefault="00497CEB" w:rsidP="00497CEB">
      <w:pPr>
        <w:pStyle w:val="Bulletlist"/>
        <w:numPr>
          <w:ilvl w:val="1"/>
          <w:numId w:val="39"/>
        </w:numPr>
        <w:jc w:val="both"/>
      </w:pPr>
      <w:r>
        <w:t xml:space="preserve">Service delivery </w:t>
      </w:r>
    </w:p>
    <w:p w14:paraId="78BF8E23" w14:textId="77777777" w:rsidR="00497CEB" w:rsidRDefault="00497CEB" w:rsidP="00497CEB">
      <w:pPr>
        <w:pStyle w:val="Bulletlist"/>
        <w:numPr>
          <w:ilvl w:val="1"/>
          <w:numId w:val="39"/>
        </w:numPr>
        <w:jc w:val="both"/>
      </w:pPr>
      <w:r>
        <w:t>Housing or crisis accommodation</w:t>
      </w:r>
    </w:p>
    <w:p w14:paraId="67BCC901" w14:textId="46D5AE3A" w:rsidR="00497CEB" w:rsidRDefault="00497CEB" w:rsidP="00497CEB">
      <w:pPr>
        <w:pStyle w:val="Bulletlist"/>
        <w:numPr>
          <w:ilvl w:val="1"/>
          <w:numId w:val="39"/>
        </w:numPr>
        <w:jc w:val="both"/>
      </w:pPr>
      <w:r>
        <w:t xml:space="preserve">Other </w:t>
      </w:r>
    </w:p>
    <w:p w14:paraId="507818AF" w14:textId="77777777" w:rsidR="00497CEB" w:rsidRDefault="00497CEB" w:rsidP="00497CEB">
      <w:pPr>
        <w:pStyle w:val="Bulletlist"/>
        <w:numPr>
          <w:ilvl w:val="0"/>
          <w:numId w:val="39"/>
        </w:numPr>
        <w:jc w:val="both"/>
      </w:pPr>
      <w:r>
        <w:t xml:space="preserve">How many employees does your organisation currently have? </w:t>
      </w:r>
    </w:p>
    <w:p w14:paraId="2A57CBF0" w14:textId="3BD1372D" w:rsidR="00497CEB" w:rsidRPr="00124A7D" w:rsidRDefault="00497CEB" w:rsidP="00497CEB">
      <w:pPr>
        <w:pStyle w:val="Bulletlist"/>
        <w:numPr>
          <w:ilvl w:val="1"/>
          <w:numId w:val="39"/>
        </w:numPr>
        <w:jc w:val="both"/>
      </w:pPr>
      <w:r>
        <w:t>0</w:t>
      </w:r>
      <w:r w:rsidRPr="00124A7D">
        <w:t>-19 – SMALL</w:t>
      </w:r>
    </w:p>
    <w:p w14:paraId="05379247" w14:textId="643E8865" w:rsidR="00497CEB" w:rsidRPr="00124A7D" w:rsidRDefault="00497CEB" w:rsidP="00497CEB">
      <w:pPr>
        <w:pStyle w:val="Bulletlist"/>
        <w:numPr>
          <w:ilvl w:val="1"/>
          <w:numId w:val="39"/>
        </w:numPr>
        <w:jc w:val="both"/>
      </w:pPr>
      <w:r w:rsidRPr="00124A7D">
        <w:t xml:space="preserve">20-199 – MEDIUM </w:t>
      </w:r>
    </w:p>
    <w:p w14:paraId="3FF36A56" w14:textId="4E037CBB" w:rsidR="00497CEB" w:rsidRDefault="00497CEB" w:rsidP="00497CEB">
      <w:pPr>
        <w:pStyle w:val="Bulletlist"/>
        <w:numPr>
          <w:ilvl w:val="1"/>
          <w:numId w:val="39"/>
        </w:numPr>
        <w:jc w:val="both"/>
      </w:pPr>
      <w:r w:rsidRPr="00124A7D">
        <w:t xml:space="preserve">200+ </w:t>
      </w:r>
      <w:r>
        <w:t xml:space="preserve">- LARGE </w:t>
      </w:r>
    </w:p>
    <w:p w14:paraId="78433616" w14:textId="77777777" w:rsidR="00497CEB" w:rsidRDefault="00497CEB" w:rsidP="00497CEB">
      <w:pPr>
        <w:pStyle w:val="Bulletlist"/>
        <w:numPr>
          <w:ilvl w:val="0"/>
          <w:numId w:val="39"/>
        </w:numPr>
        <w:jc w:val="both"/>
      </w:pPr>
      <w:r>
        <w:t xml:space="preserve">In which states or territories does your organisation operate? Select as many as applicable. </w:t>
      </w:r>
    </w:p>
    <w:p w14:paraId="457EE9D2" w14:textId="77777777" w:rsidR="00497CEB" w:rsidRDefault="00497CEB" w:rsidP="00497CEB">
      <w:pPr>
        <w:pStyle w:val="Bulletlist"/>
        <w:numPr>
          <w:ilvl w:val="1"/>
          <w:numId w:val="39"/>
        </w:numPr>
        <w:jc w:val="both"/>
      </w:pPr>
      <w:r>
        <w:t>NSW</w:t>
      </w:r>
    </w:p>
    <w:p w14:paraId="30DCF2A2" w14:textId="77777777" w:rsidR="00497CEB" w:rsidRDefault="00497CEB" w:rsidP="00497CEB">
      <w:pPr>
        <w:pStyle w:val="Bulletlist"/>
        <w:numPr>
          <w:ilvl w:val="1"/>
          <w:numId w:val="39"/>
        </w:numPr>
        <w:jc w:val="both"/>
      </w:pPr>
      <w:r>
        <w:t>VIC</w:t>
      </w:r>
    </w:p>
    <w:p w14:paraId="2755066C" w14:textId="77777777" w:rsidR="00497CEB" w:rsidRDefault="00497CEB" w:rsidP="00497CEB">
      <w:pPr>
        <w:pStyle w:val="Bulletlist"/>
        <w:numPr>
          <w:ilvl w:val="1"/>
          <w:numId w:val="39"/>
        </w:numPr>
        <w:jc w:val="both"/>
      </w:pPr>
      <w:r>
        <w:t>ACT</w:t>
      </w:r>
    </w:p>
    <w:p w14:paraId="03E42159" w14:textId="77777777" w:rsidR="00497CEB" w:rsidRDefault="00497CEB" w:rsidP="00497CEB">
      <w:pPr>
        <w:pStyle w:val="Bulletlist"/>
        <w:numPr>
          <w:ilvl w:val="1"/>
          <w:numId w:val="39"/>
        </w:numPr>
        <w:jc w:val="both"/>
      </w:pPr>
      <w:r>
        <w:t>TAS</w:t>
      </w:r>
    </w:p>
    <w:p w14:paraId="61E00B14" w14:textId="77777777" w:rsidR="00497CEB" w:rsidRDefault="00497CEB" w:rsidP="00497CEB">
      <w:pPr>
        <w:pStyle w:val="Bulletlist"/>
        <w:numPr>
          <w:ilvl w:val="1"/>
          <w:numId w:val="39"/>
        </w:numPr>
        <w:jc w:val="both"/>
      </w:pPr>
      <w:r>
        <w:t>SA</w:t>
      </w:r>
    </w:p>
    <w:p w14:paraId="6B15DD7F" w14:textId="77777777" w:rsidR="00497CEB" w:rsidRDefault="00497CEB" w:rsidP="00497CEB">
      <w:pPr>
        <w:pStyle w:val="Bulletlist"/>
        <w:numPr>
          <w:ilvl w:val="1"/>
          <w:numId w:val="39"/>
        </w:numPr>
        <w:jc w:val="both"/>
      </w:pPr>
      <w:r>
        <w:t>WA</w:t>
      </w:r>
    </w:p>
    <w:p w14:paraId="40DF4C2B" w14:textId="77777777" w:rsidR="00497CEB" w:rsidRDefault="00497CEB" w:rsidP="00497CEB">
      <w:pPr>
        <w:pStyle w:val="Bulletlist"/>
        <w:numPr>
          <w:ilvl w:val="1"/>
          <w:numId w:val="39"/>
        </w:numPr>
        <w:jc w:val="both"/>
      </w:pPr>
      <w:r>
        <w:t>NT</w:t>
      </w:r>
    </w:p>
    <w:p w14:paraId="5179F15A" w14:textId="77777777" w:rsidR="00497CEB" w:rsidRDefault="00497CEB" w:rsidP="00497CEB">
      <w:pPr>
        <w:pStyle w:val="Bulletlist"/>
        <w:numPr>
          <w:ilvl w:val="0"/>
          <w:numId w:val="39"/>
        </w:numPr>
        <w:jc w:val="both"/>
      </w:pPr>
      <w:r>
        <w:t xml:space="preserve">Which geographic area does your organisation primarily service? </w:t>
      </w:r>
    </w:p>
    <w:p w14:paraId="4E2CDA78" w14:textId="77777777" w:rsidR="00497CEB" w:rsidRDefault="00497CEB" w:rsidP="00497CEB">
      <w:pPr>
        <w:pStyle w:val="Bulletlist"/>
        <w:numPr>
          <w:ilvl w:val="1"/>
          <w:numId w:val="39"/>
        </w:numPr>
        <w:jc w:val="both"/>
      </w:pPr>
      <w:r>
        <w:t>Remote</w:t>
      </w:r>
    </w:p>
    <w:p w14:paraId="29C60017" w14:textId="77777777" w:rsidR="00497CEB" w:rsidRDefault="00497CEB" w:rsidP="00497CEB">
      <w:pPr>
        <w:pStyle w:val="Bulletlist"/>
        <w:numPr>
          <w:ilvl w:val="1"/>
          <w:numId w:val="39"/>
        </w:numPr>
        <w:jc w:val="both"/>
      </w:pPr>
      <w:r>
        <w:t>Regional</w:t>
      </w:r>
    </w:p>
    <w:p w14:paraId="2BFE4BAC" w14:textId="77777777" w:rsidR="00497CEB" w:rsidRDefault="00497CEB" w:rsidP="00497CEB">
      <w:pPr>
        <w:pStyle w:val="Bulletlist"/>
        <w:numPr>
          <w:ilvl w:val="1"/>
          <w:numId w:val="39"/>
        </w:numPr>
        <w:jc w:val="both"/>
      </w:pPr>
      <w:r>
        <w:lastRenderedPageBreak/>
        <w:t>Urban</w:t>
      </w:r>
    </w:p>
    <w:p w14:paraId="55A9CCBD" w14:textId="77777777" w:rsidR="00497CEB" w:rsidRDefault="00497CEB" w:rsidP="00124A7D">
      <w:pPr>
        <w:pStyle w:val="Bulletlist"/>
        <w:numPr>
          <w:ilvl w:val="0"/>
          <w:numId w:val="39"/>
        </w:numPr>
      </w:pPr>
      <w:r>
        <w:t>Would you give permission for CIRCA to audio-record the discussion, noting that we would not share the audio-recording with anyone outside of CIRCA</w:t>
      </w:r>
      <w:r w:rsidRPr="00F03852">
        <w:t xml:space="preserve">. The recording will be </w:t>
      </w:r>
      <w:r w:rsidRPr="0026060E">
        <w:t>transferre</w:t>
      </w:r>
      <w:r>
        <w:t>d</w:t>
      </w:r>
      <w:r w:rsidRPr="0026060E">
        <w:t xml:space="preserve"> to CIRCA</w:t>
      </w:r>
      <w:r w:rsidRPr="00633F15">
        <w:t xml:space="preserve">’s computers </w:t>
      </w:r>
      <w:r>
        <w:t>and</w:t>
      </w:r>
      <w:r w:rsidRPr="00633F15">
        <w:t xml:space="preserve"> will be destroyed </w:t>
      </w:r>
      <w:r>
        <w:t>after</w:t>
      </w:r>
      <w:r w:rsidRPr="00633F15">
        <w:t xml:space="preserve"> we have made notes and </w:t>
      </w:r>
      <w:r>
        <w:t>written our</w:t>
      </w:r>
      <w:r w:rsidRPr="00633F15">
        <w:t xml:space="preserve"> issues-based report.</w:t>
      </w:r>
    </w:p>
    <w:p w14:paraId="6E2064E5" w14:textId="77777777" w:rsidR="00497CEB" w:rsidRDefault="00497CEB" w:rsidP="00497CEB">
      <w:pPr>
        <w:pStyle w:val="Bulletlist"/>
        <w:numPr>
          <w:ilvl w:val="1"/>
          <w:numId w:val="39"/>
        </w:numPr>
        <w:jc w:val="both"/>
      </w:pPr>
      <w:r>
        <w:t>Yes</w:t>
      </w:r>
    </w:p>
    <w:p w14:paraId="6BCB9728" w14:textId="77777777" w:rsidR="00497CEB" w:rsidRDefault="00497CEB" w:rsidP="00497CEB">
      <w:pPr>
        <w:pStyle w:val="Bulletlist"/>
        <w:numPr>
          <w:ilvl w:val="1"/>
          <w:numId w:val="39"/>
        </w:numPr>
        <w:jc w:val="both"/>
      </w:pPr>
      <w:r>
        <w:t>No</w:t>
      </w:r>
    </w:p>
    <w:p w14:paraId="7C72BE02" w14:textId="77777777" w:rsidR="00497CEB" w:rsidRDefault="00497CEB" w:rsidP="00497CEB">
      <w:pPr>
        <w:pStyle w:val="Bulletlist"/>
        <w:numPr>
          <w:ilvl w:val="0"/>
          <w:numId w:val="0"/>
        </w:numPr>
      </w:pPr>
    </w:p>
    <w:p w14:paraId="58F042E5" w14:textId="77777777" w:rsidR="00497CEB" w:rsidRPr="001B1975" w:rsidRDefault="00497CEB" w:rsidP="00497CEB">
      <w:pPr>
        <w:shd w:val="clear" w:color="auto" w:fill="F9B8A3" w:themeFill="accent1" w:themeFillTint="99"/>
        <w:rPr>
          <w:b/>
          <w:bCs/>
          <w:lang w:val="en-GB"/>
        </w:rPr>
      </w:pPr>
      <w:r w:rsidRPr="001B1975">
        <w:rPr>
          <w:b/>
          <w:bCs/>
          <w:lang w:val="en-GB"/>
        </w:rPr>
        <w:t>Closing – IF Qualified</w:t>
      </w:r>
    </w:p>
    <w:p w14:paraId="144321E3" w14:textId="77777777" w:rsidR="00497CEB" w:rsidRDefault="00497CEB" w:rsidP="00497CEB">
      <w:pPr>
        <w:rPr>
          <w:lang w:val="en-GB"/>
        </w:rPr>
      </w:pPr>
      <w:r>
        <w:rPr>
          <w:lang w:val="en-GB"/>
        </w:rPr>
        <w:t xml:space="preserve">I am happy to confirm that your organisation has qualified to participate in this research. The online focus group will be running on </w:t>
      </w:r>
      <w:r w:rsidRPr="0069417E">
        <w:rPr>
          <w:b/>
          <w:lang w:val="en-GB"/>
        </w:rPr>
        <w:t>[INSERT RELEVANT LOCATION, DATE AND TIME].</w:t>
      </w:r>
      <w:r>
        <w:rPr>
          <w:b/>
          <w:lang w:val="en-GB"/>
        </w:rPr>
        <w:t xml:space="preserve"> </w:t>
      </w:r>
      <w:r>
        <w:rPr>
          <w:lang w:val="en-GB"/>
        </w:rPr>
        <w:t>Will you, or someone in your organisation, be able to attend?</w:t>
      </w:r>
    </w:p>
    <w:p w14:paraId="6E77BB02" w14:textId="77777777" w:rsidR="00497CEB" w:rsidRPr="00A41384" w:rsidRDefault="00497CEB" w:rsidP="00497CEB">
      <w:pPr>
        <w:rPr>
          <w:b/>
          <w:lang w:val="en-GB"/>
        </w:rPr>
      </w:pPr>
      <w:r>
        <w:rPr>
          <w:b/>
          <w:lang w:val="en-GB"/>
        </w:rPr>
        <w:t>IF YES, CONTINUE:</w:t>
      </w:r>
    </w:p>
    <w:p w14:paraId="024E28C0" w14:textId="76D4FD4E" w:rsidR="00497CEB" w:rsidRDefault="00497CEB" w:rsidP="00497CEB">
      <w:pPr>
        <w:rPr>
          <w:lang w:val="en-GB"/>
        </w:rPr>
      </w:pPr>
      <w:r>
        <w:rPr>
          <w:lang w:val="en-GB"/>
        </w:rPr>
        <w:t xml:space="preserve">As mentioned earlier, these discussions are relaxed and informal, and most people enjoy the experience. They last around 90 minutes, with around </w:t>
      </w:r>
      <w:r w:rsidRPr="00124A7D">
        <w:rPr>
          <w:lang w:val="en-GB"/>
        </w:rPr>
        <w:t>5</w:t>
      </w:r>
      <w:r>
        <w:rPr>
          <w:lang w:val="en-GB"/>
        </w:rPr>
        <w:t>-7 other people. The discussions will be held online and all feedback will be de</w:t>
      </w:r>
      <w:r>
        <w:rPr>
          <w:lang w:val="en-GB"/>
        </w:rPr>
        <w:noBreakHyphen/>
        <w:t xml:space="preserve">identified when returned to the department. </w:t>
      </w:r>
    </w:p>
    <w:p w14:paraId="0B7E0C52" w14:textId="77777777" w:rsidR="00497CEB" w:rsidRDefault="00497CEB" w:rsidP="00497CEB">
      <w:pPr>
        <w:rPr>
          <w:lang w:val="en-GB"/>
        </w:rPr>
      </w:pPr>
      <w:r>
        <w:rPr>
          <w:b/>
          <w:lang w:val="en-GB"/>
        </w:rPr>
        <w:t xml:space="preserve">ASK ALL: </w:t>
      </w:r>
      <w:r>
        <w:rPr>
          <w:lang w:val="en-GB"/>
        </w:rPr>
        <w:t xml:space="preserve">Do you have any accessibility requirements you would like to share with us? </w:t>
      </w:r>
    </w:p>
    <w:p w14:paraId="7DAB4C9A" w14:textId="77777777" w:rsidR="00497CEB" w:rsidRPr="00366066" w:rsidRDefault="00497CEB" w:rsidP="00497CEB">
      <w:pPr>
        <w:rPr>
          <w:lang w:val="en-GB"/>
        </w:rPr>
      </w:pPr>
      <w:r>
        <w:rPr>
          <w:lang w:val="en-GB"/>
        </w:rPr>
        <w:t xml:space="preserve">I will send you an email or telephone you to re-confirm your attendance closer to the date. May I have your email address, or would you prefer us to telephone you? </w:t>
      </w:r>
      <w:r>
        <w:rPr>
          <w:b/>
          <w:lang w:val="en-GB"/>
        </w:rPr>
        <w:t xml:space="preserve">[COLLECT EMAIL / SUITABLE PHONE NUMBERS.] </w:t>
      </w:r>
    </w:p>
    <w:p w14:paraId="2FA6A43A" w14:textId="77777777" w:rsidR="00497CEB" w:rsidRPr="00630DAC" w:rsidRDefault="00497CEB" w:rsidP="00497CEB">
      <w:r>
        <w:rPr>
          <w:lang w:val="en-GB"/>
        </w:rPr>
        <w:t xml:space="preserve">Just to recap, my name is </w:t>
      </w:r>
      <w:r>
        <w:rPr>
          <w:b/>
          <w:lang w:val="en-GB"/>
        </w:rPr>
        <w:t>[INSERT NAME]</w:t>
      </w:r>
      <w:r>
        <w:rPr>
          <w:lang w:val="en-GB"/>
        </w:rPr>
        <w:t xml:space="preserve"> from CIRCA. This </w:t>
      </w:r>
      <w:r>
        <w:t xml:space="preserve">research will be carried out in compliance </w:t>
      </w:r>
      <w:r w:rsidRPr="00E274BC">
        <w:t>with the Federal Privacy Act and the information you provide will be kept completely confidential and</w:t>
      </w:r>
      <w:r>
        <w:t xml:space="preserve"> used for the design of relevant programs by DSS. </w:t>
      </w:r>
      <w:r>
        <w:rPr>
          <w:lang w:val="en-GB"/>
        </w:rPr>
        <w:t>Thank you for your time today and in anticipation of your participation in this important research study.</w:t>
      </w:r>
    </w:p>
    <w:p w14:paraId="26F70C2E" w14:textId="77777777" w:rsidR="00497CEB" w:rsidRPr="001B1975" w:rsidRDefault="00497CEB" w:rsidP="00497CEB">
      <w:pPr>
        <w:shd w:val="clear" w:color="auto" w:fill="F9B8A3" w:themeFill="accent1" w:themeFillTint="99"/>
        <w:rPr>
          <w:b/>
          <w:bCs/>
          <w:lang w:val="en-GB"/>
        </w:rPr>
      </w:pPr>
      <w:r w:rsidRPr="001B1975">
        <w:rPr>
          <w:b/>
          <w:bCs/>
          <w:lang w:val="en-GB"/>
        </w:rPr>
        <w:t xml:space="preserve">Closing – IF </w:t>
      </w:r>
      <w:r>
        <w:rPr>
          <w:b/>
          <w:bCs/>
          <w:lang w:val="en-GB"/>
        </w:rPr>
        <w:t xml:space="preserve">NOT </w:t>
      </w:r>
      <w:r w:rsidRPr="001B1975">
        <w:rPr>
          <w:b/>
          <w:bCs/>
          <w:lang w:val="en-GB"/>
        </w:rPr>
        <w:t>Qualified</w:t>
      </w:r>
    </w:p>
    <w:p w14:paraId="6E9B02A5" w14:textId="77777777" w:rsidR="00497CEB" w:rsidRDefault="00497CEB" w:rsidP="00497CEB">
      <w:r>
        <w:t>I’m very sorry, but you are not eligible to participate in this research. Thank you for your time. Have a nice day.</w:t>
      </w:r>
    </w:p>
    <w:p w14:paraId="4BC16E26" w14:textId="77777777" w:rsidR="00497CEB" w:rsidRPr="00341CC2" w:rsidRDefault="00497CEB" w:rsidP="00497CEB"/>
    <w:p w14:paraId="56AB8B88" w14:textId="567EFE89" w:rsidR="007A75C7" w:rsidRDefault="007A75C7" w:rsidP="001F57F0">
      <w:pPr>
        <w:pStyle w:val="Appendixheading"/>
      </w:pPr>
      <w:bookmarkStart w:id="40" w:name="_Toc147910413"/>
      <w:r>
        <w:lastRenderedPageBreak/>
        <w:t xml:space="preserve">Appendix 2: Participant </w:t>
      </w:r>
      <w:r w:rsidR="004348C0">
        <w:t>i</w:t>
      </w:r>
      <w:r>
        <w:t xml:space="preserve">nformation </w:t>
      </w:r>
      <w:r w:rsidR="004348C0">
        <w:t>s</w:t>
      </w:r>
      <w:r>
        <w:t>tatement</w:t>
      </w:r>
      <w:bookmarkEnd w:id="37"/>
      <w:bookmarkEnd w:id="40"/>
    </w:p>
    <w:p w14:paraId="0E14D78C" w14:textId="77777777" w:rsidR="00EE5298" w:rsidRDefault="00EE5298" w:rsidP="00EE5298">
      <w:pPr>
        <w:pStyle w:val="BodyHeadingBlue"/>
        <w:rPr>
          <w:b w:val="0"/>
          <w:bCs/>
          <w:color w:val="auto"/>
        </w:rPr>
      </w:pPr>
      <w:r>
        <w:rPr>
          <w:b w:val="0"/>
          <w:bCs/>
          <w:color w:val="auto"/>
        </w:rPr>
        <w:t>30/01/2023</w:t>
      </w:r>
    </w:p>
    <w:p w14:paraId="509DC1FE" w14:textId="07A50884" w:rsidR="00EE5298" w:rsidRDefault="00EE5298" w:rsidP="00EE5298">
      <w:pPr>
        <w:pStyle w:val="BodyHeadingBlue"/>
        <w:rPr>
          <w:noProof/>
        </w:rPr>
      </w:pPr>
      <w:r>
        <w:rPr>
          <w:noProof/>
        </w:rPr>
        <w:t>What is this research about</w:t>
      </w:r>
    </w:p>
    <w:p w14:paraId="4F280696" w14:textId="77777777" w:rsidR="00EE5298" w:rsidRDefault="00EE5298" w:rsidP="00EE5298">
      <w:pPr>
        <w:rPr>
          <w:rFonts w:cs="Arial"/>
        </w:rPr>
      </w:pPr>
      <w:r>
        <w:t xml:space="preserve">The Cultural and Indigenous Research Centre Australia (CIRCA) has been contracted by the Australian Government Department of Social Services (the Department) to consult with people who have expertise working with First Nations women and children, women and children from culturally and linguistically diverse (CALD) backgrounds, and women and children with disability. The Department is consulting on </w:t>
      </w:r>
      <w:r>
        <w:rPr>
          <w:rFonts w:cs="Arial"/>
        </w:rPr>
        <w:t>the design of the next round of the Safe Places Emergency Accommodation (Safe Places) program, the Inclusion Round, which provides a capital investment to support the building, renovation or purchase of new emergency accommodation for women and children leaving violence. The Inclusion Round will focus on improving access to appropriate emergency accommodation for First Nations women and children, women and children from CALD backgrounds, and women and children with disability.</w:t>
      </w:r>
    </w:p>
    <w:p w14:paraId="4D91961D" w14:textId="67D7E493" w:rsidR="00EE5298" w:rsidRDefault="00EE5298" w:rsidP="00EE5298">
      <w:pPr>
        <w:rPr>
          <w:rFonts w:cs="Arial"/>
        </w:rPr>
      </w:pPr>
      <w:r>
        <w:rPr>
          <w:rFonts w:cs="Arial"/>
        </w:rPr>
        <w:t xml:space="preserve">The Inclusion Round is part of the </w:t>
      </w:r>
      <w:r>
        <w:rPr>
          <w:rFonts w:cs="Arial"/>
          <w:i/>
        </w:rPr>
        <w:t xml:space="preserve">National Plan to End Violence against Women and Children 2022-2032 </w:t>
      </w:r>
      <w:r>
        <w:rPr>
          <w:rFonts w:cs="Arial"/>
        </w:rPr>
        <w:t>(National Plan)</w:t>
      </w:r>
      <w:r>
        <w:rPr>
          <w:rFonts w:cs="Arial"/>
          <w:i/>
        </w:rPr>
        <w:t>,</w:t>
      </w:r>
      <w:r>
        <w:rPr>
          <w:rFonts w:cs="Arial"/>
        </w:rPr>
        <w:t xml:space="preserve"> with an allocation of $100 million over 5 years (2022</w:t>
      </w:r>
      <w:r w:rsidRPr="00124A7D">
        <w:rPr>
          <w:rFonts w:cs="Arial"/>
        </w:rPr>
        <w:noBreakHyphen/>
        <w:t>23 to 2026</w:t>
      </w:r>
      <w:r w:rsidRPr="00124A7D">
        <w:rPr>
          <w:rFonts w:cs="Arial"/>
        </w:rPr>
        <w:noBreakHyphen/>
        <w:t>2</w:t>
      </w:r>
      <w:r>
        <w:rPr>
          <w:rFonts w:cs="Arial"/>
        </w:rPr>
        <w:t>7). It builds on the initial investment of $72.6 million in the Safe Places Emergency Accommodation program.</w:t>
      </w:r>
    </w:p>
    <w:p w14:paraId="6538A668" w14:textId="77777777" w:rsidR="00EE5298" w:rsidRDefault="00EE5298" w:rsidP="00EE5298">
      <w:r>
        <w:t xml:space="preserve">CIRCA will collate information collected in these focus groups to prepare a Summary Report for the Department. This information will help inform the design of the Inclusion Round.  </w:t>
      </w:r>
    </w:p>
    <w:p w14:paraId="4954D5BF" w14:textId="77777777" w:rsidR="00EE5298" w:rsidRDefault="00EE5298" w:rsidP="00EE5298">
      <w:r>
        <w:t>CIRCA will NOT include your identity and personal details in the report that we make to the Department. The report provided to the Department will be de-identified, and will not be attributed to any specific organisation or individual. CIRCA takes the confidentiality of its interview participants seriously.</w:t>
      </w:r>
    </w:p>
    <w:p w14:paraId="5698E4CA" w14:textId="77777777" w:rsidR="00EE5298" w:rsidRDefault="00EE5298" w:rsidP="00EE5298">
      <w:pPr>
        <w:pStyle w:val="BodyHeadingBlue"/>
        <w:rPr>
          <w:lang w:val="en-US"/>
        </w:rPr>
      </w:pPr>
      <w:r>
        <w:rPr>
          <w:lang w:val="en-US"/>
        </w:rPr>
        <w:t>Who is taking part?</w:t>
      </w:r>
    </w:p>
    <w:p w14:paraId="428E0282" w14:textId="77777777" w:rsidR="00EE5298" w:rsidRDefault="00EE5298" w:rsidP="00EE5298">
      <w:pPr>
        <w:rPr>
          <w:noProof/>
        </w:rPr>
      </w:pPr>
      <w:r>
        <w:t xml:space="preserve">As part of this consultation, CIRCA will conduct focus groups with specialist stakeholders working with </w:t>
      </w:r>
      <w:r>
        <w:rPr>
          <w:rFonts w:cs="Arial"/>
        </w:rPr>
        <w:t>First Nations women and children, women and children from CALD backgrounds, and women and children with disability</w:t>
      </w:r>
      <w:r>
        <w:t xml:space="preserve">. The participants in these focus groups will be organisations and people who have been recommended to us by the Department. </w:t>
      </w:r>
    </w:p>
    <w:p w14:paraId="5D0308FF" w14:textId="77777777" w:rsidR="00EE5298" w:rsidRDefault="00EE5298" w:rsidP="00EE5298">
      <w:pPr>
        <w:pStyle w:val="BodyHeadingBlue"/>
        <w:rPr>
          <w:lang w:val="en-US"/>
        </w:rPr>
      </w:pPr>
      <w:r>
        <w:rPr>
          <w:lang w:val="en-US"/>
        </w:rPr>
        <w:t>What does it involve?</w:t>
      </w:r>
    </w:p>
    <w:p w14:paraId="587CFB52" w14:textId="6068D708" w:rsidR="00EE5298" w:rsidRDefault="00EE5298" w:rsidP="00EE5298">
      <w:r>
        <w:t>Your participation in this consultation will involve a 90-minute online focus group with 5</w:t>
      </w:r>
      <w:r w:rsidRPr="00E56C8C">
        <w:t>-7</w:t>
      </w:r>
      <w:r>
        <w:t xml:space="preserve"> other people.</w:t>
      </w:r>
    </w:p>
    <w:p w14:paraId="4DC26D14" w14:textId="77777777" w:rsidR="00EE5298" w:rsidRDefault="00EE5298" w:rsidP="00EE5298">
      <w:r>
        <w:t>To make sure that we gather all the points that you make, we will ask for your permission to audio-record the discussion. The audio-recording will not be shared with anyone outside of CIRCA. The recording will be transferred to CIRCA’s computers and will be destroyed after we have made notes and written our issues-based report.</w:t>
      </w:r>
    </w:p>
    <w:p w14:paraId="36DF6E82" w14:textId="77777777" w:rsidR="00EE5298" w:rsidRDefault="00EE5298" w:rsidP="00EE5298">
      <w:pPr>
        <w:pStyle w:val="BodyHeadingBlue"/>
        <w:rPr>
          <w:lang w:val="en-US"/>
        </w:rPr>
      </w:pPr>
      <w:r>
        <w:rPr>
          <w:lang w:val="en-US"/>
        </w:rPr>
        <w:lastRenderedPageBreak/>
        <w:t>How long will it take?</w:t>
      </w:r>
    </w:p>
    <w:p w14:paraId="349F4DB0" w14:textId="77777777" w:rsidR="00EE5298" w:rsidRDefault="00EE5298" w:rsidP="00EE5298">
      <w:pPr>
        <w:rPr>
          <w:lang w:val="en-US"/>
        </w:rPr>
      </w:pPr>
      <w:r>
        <w:rPr>
          <w:lang w:val="en-US"/>
        </w:rPr>
        <w:t>The discussion will take around 90 minutes.</w:t>
      </w:r>
    </w:p>
    <w:p w14:paraId="5E743852" w14:textId="77777777" w:rsidR="00EE5298" w:rsidRDefault="00EE5298" w:rsidP="00EE5298">
      <w:pPr>
        <w:pStyle w:val="BodyHeadingBlue"/>
        <w:rPr>
          <w:lang w:val="en-US"/>
        </w:rPr>
      </w:pPr>
      <w:r>
        <w:rPr>
          <w:lang w:val="en-US"/>
        </w:rPr>
        <w:t>Why is it important?</w:t>
      </w:r>
    </w:p>
    <w:p w14:paraId="2BA18465" w14:textId="77777777" w:rsidR="00EE5298" w:rsidRPr="00437607" w:rsidRDefault="00EE5298" w:rsidP="00437607">
      <w:pPr>
        <w:rPr>
          <w:lang w:val="en-US"/>
        </w:rPr>
      </w:pPr>
      <w:r w:rsidRPr="00437607">
        <w:rPr>
          <w:lang w:val="en-US"/>
        </w:rPr>
        <w:t>The National Plan Stakeholder Consultation Final Report identified that existing emergency accommodation is not always appropriate or accessible for particular cohorts, including:</w:t>
      </w:r>
    </w:p>
    <w:p w14:paraId="6E60F207" w14:textId="77777777" w:rsidR="00EE5298" w:rsidRPr="00E56C8C" w:rsidRDefault="00EE5298" w:rsidP="0040322D">
      <w:pPr>
        <w:pStyle w:val="BodyHeadingBlue"/>
        <w:numPr>
          <w:ilvl w:val="0"/>
          <w:numId w:val="9"/>
        </w:numPr>
        <w:rPr>
          <w:b w:val="0"/>
          <w:color w:val="414141"/>
          <w:sz w:val="20"/>
        </w:rPr>
      </w:pPr>
      <w:r w:rsidRPr="00E56C8C">
        <w:rPr>
          <w:b w:val="0"/>
          <w:color w:val="414141"/>
          <w:sz w:val="20"/>
        </w:rPr>
        <w:t>First Nations women and children</w:t>
      </w:r>
    </w:p>
    <w:p w14:paraId="1831E07F" w14:textId="77777777" w:rsidR="00EE5298" w:rsidRPr="00E56C8C" w:rsidRDefault="00EE5298" w:rsidP="0040322D">
      <w:pPr>
        <w:pStyle w:val="BodyHeadingBlue"/>
        <w:numPr>
          <w:ilvl w:val="0"/>
          <w:numId w:val="9"/>
        </w:numPr>
        <w:rPr>
          <w:b w:val="0"/>
          <w:color w:val="414141"/>
          <w:sz w:val="20"/>
        </w:rPr>
      </w:pPr>
      <w:r w:rsidRPr="00E56C8C">
        <w:rPr>
          <w:b w:val="0"/>
          <w:color w:val="414141"/>
          <w:sz w:val="20"/>
        </w:rPr>
        <w:t>Women and children living with disability</w:t>
      </w:r>
    </w:p>
    <w:p w14:paraId="4C7E159E" w14:textId="2FF59FF8" w:rsidR="00437607" w:rsidRPr="00E56C8C" w:rsidRDefault="00EE5298" w:rsidP="0040322D">
      <w:pPr>
        <w:pStyle w:val="BodyHeadingBlue"/>
        <w:numPr>
          <w:ilvl w:val="0"/>
          <w:numId w:val="9"/>
        </w:numPr>
        <w:rPr>
          <w:b w:val="0"/>
          <w:color w:val="414141"/>
          <w:sz w:val="20"/>
        </w:rPr>
      </w:pPr>
      <w:r w:rsidRPr="00E56C8C">
        <w:rPr>
          <w:b w:val="0"/>
          <w:color w:val="414141"/>
          <w:sz w:val="20"/>
        </w:rPr>
        <w:t>Culturally and Linguistically Diverse women and children</w:t>
      </w:r>
    </w:p>
    <w:p w14:paraId="1C10320E" w14:textId="77777777" w:rsidR="00EE5298" w:rsidRDefault="00EE5298" w:rsidP="00EE5298">
      <w:pPr>
        <w:rPr>
          <w:rFonts w:cs="Arial"/>
          <w:color w:val="414141"/>
          <w:sz w:val="20"/>
        </w:rPr>
      </w:pPr>
      <w:r>
        <w:rPr>
          <w:rFonts w:cs="Arial"/>
        </w:rPr>
        <w:t xml:space="preserve">The objective of the Inclusion Round is to increase the number of new, appropriate emergency accommodation places for women and children leaving FDV and to increase accessibility for these cohorts, including those who experience the intersection of racism, ableism and sexism. </w:t>
      </w:r>
    </w:p>
    <w:p w14:paraId="345D0CE4" w14:textId="77777777" w:rsidR="00EE5298" w:rsidRDefault="00EE5298" w:rsidP="00EE5298">
      <w:pPr>
        <w:rPr>
          <w:rFonts w:cs="Arial"/>
        </w:rPr>
      </w:pPr>
      <w:r>
        <w:t>To achieve these objectives, the Department is consulting with communities. In addition to these focus groups, the Department’s consultation includes</w:t>
      </w:r>
      <w:r>
        <w:rPr>
          <w:rFonts w:cs="Arial"/>
        </w:rPr>
        <w:t>:</w:t>
      </w:r>
    </w:p>
    <w:p w14:paraId="70C45D71" w14:textId="77777777" w:rsidR="00EE5298" w:rsidRDefault="00EE5298" w:rsidP="0040322D">
      <w:pPr>
        <w:pStyle w:val="BodyHeadingBlue"/>
        <w:numPr>
          <w:ilvl w:val="0"/>
          <w:numId w:val="9"/>
        </w:numPr>
        <w:rPr>
          <w:b w:val="0"/>
          <w:color w:val="414141"/>
          <w:sz w:val="20"/>
        </w:rPr>
      </w:pPr>
      <w:r>
        <w:rPr>
          <w:b w:val="0"/>
          <w:color w:val="414141"/>
          <w:sz w:val="20"/>
        </w:rPr>
        <w:t xml:space="preserve">A Discussion Paper published on engage.dss.gov.au for written submissions from the public from 30 January 2023 to 10 March 2023: </w:t>
      </w:r>
      <w:hyperlink r:id="rId17" w:history="1">
        <w:r>
          <w:rPr>
            <w:rStyle w:val="Hyperlink"/>
            <w:b w:val="0"/>
          </w:rPr>
          <w:t>https://engage.dss.gov.au/safe-places-emergency-accommodation-program-inclusion-round/safe-places-emergency-accommodation-program-inclusion-round-program-design-discussion-paper/</w:t>
        </w:r>
      </w:hyperlink>
      <w:r>
        <w:rPr>
          <w:b w:val="0"/>
          <w:color w:val="414141"/>
          <w:sz w:val="20"/>
        </w:rPr>
        <w:t xml:space="preserve"> </w:t>
      </w:r>
    </w:p>
    <w:p w14:paraId="3841B75B" w14:textId="77777777" w:rsidR="00EE5298" w:rsidRDefault="00EE5298" w:rsidP="0040322D">
      <w:pPr>
        <w:pStyle w:val="BodyHeadingBlue"/>
        <w:numPr>
          <w:ilvl w:val="0"/>
          <w:numId w:val="9"/>
        </w:numPr>
        <w:rPr>
          <w:b w:val="0"/>
          <w:color w:val="414141"/>
          <w:sz w:val="20"/>
        </w:rPr>
      </w:pPr>
      <w:r>
        <w:rPr>
          <w:b w:val="0"/>
          <w:color w:val="414141"/>
          <w:sz w:val="20"/>
        </w:rPr>
        <w:t>Dedicated engagement with victim-survivors who have lived experience of emergency accommodation services.</w:t>
      </w:r>
    </w:p>
    <w:p w14:paraId="4C23E8E9" w14:textId="77777777" w:rsidR="00EE5298" w:rsidRDefault="00EE5298" w:rsidP="00EE5298">
      <w:pPr>
        <w:pStyle w:val="BodyHeadingBlue"/>
      </w:pPr>
      <w:r>
        <w:t>Do I have to participate?</w:t>
      </w:r>
    </w:p>
    <w:p w14:paraId="18AB1E18" w14:textId="77777777" w:rsidR="00EE5298" w:rsidRDefault="00EE5298" w:rsidP="00EE5298">
      <w:pPr>
        <w:rPr>
          <w:lang w:val="en-GB"/>
        </w:rPr>
      </w:pPr>
      <w:r>
        <w:rPr>
          <w:lang w:val="en-GB"/>
        </w:rPr>
        <w:t>You do not have to participate if you don’t want to. Participation in this consultation is completely voluntary. If you decide not to participate, there will be no negative impact on your relationship with the Department.</w:t>
      </w:r>
    </w:p>
    <w:p w14:paraId="77AE4453" w14:textId="77777777" w:rsidR="00EE5298" w:rsidRDefault="00EE5298" w:rsidP="00EE5298">
      <w:r>
        <w:t>If you have any involvement with the Department, including funding streams, giving your feedback to CIRCA will not jeopardise or prejudice this in any way.</w:t>
      </w:r>
    </w:p>
    <w:p w14:paraId="73801A89" w14:textId="77777777" w:rsidR="00EE5298" w:rsidRDefault="00EE5298" w:rsidP="00EE5298">
      <w:r>
        <w:t>If you don’t want to or can’t answer any question, we will move on to another question. All comments are welcome – there are no right or wrong answers.</w:t>
      </w:r>
    </w:p>
    <w:p w14:paraId="1486F9AD" w14:textId="77777777" w:rsidR="00EE5298" w:rsidRDefault="00EE5298" w:rsidP="00EE5298">
      <w:pPr>
        <w:pStyle w:val="BodyHeadingBlue"/>
        <w:rPr>
          <w:lang w:val="en-US"/>
        </w:rPr>
      </w:pPr>
      <w:r>
        <w:rPr>
          <w:lang w:val="en-US"/>
        </w:rPr>
        <w:t>Will I be compensated for my time?</w:t>
      </w:r>
    </w:p>
    <w:p w14:paraId="192517B9" w14:textId="77777777" w:rsidR="00EE5298" w:rsidRDefault="00EE5298" w:rsidP="00F852B4">
      <w:pPr>
        <w:rPr>
          <w:noProof/>
        </w:rPr>
      </w:pPr>
      <w:r>
        <w:rPr>
          <w:noProof/>
        </w:rPr>
        <w:t xml:space="preserve">We will provide $80 by Electronic Funds Transfer [EFT] via your bank details or PayID, to thank you for the time you have taken to participate in the research. </w:t>
      </w:r>
    </w:p>
    <w:p w14:paraId="3F0BDEB0" w14:textId="77777777" w:rsidR="00EE5298" w:rsidRDefault="00EE5298" w:rsidP="00EE5298">
      <w:pPr>
        <w:pStyle w:val="BodyHeadingBlue"/>
        <w:spacing w:line="26" w:lineRule="atLeast"/>
      </w:pPr>
      <w:r>
        <w:t>How will my personal information be treated?</w:t>
      </w:r>
    </w:p>
    <w:p w14:paraId="456ACE8B" w14:textId="77777777" w:rsidR="00EE5298" w:rsidRDefault="00EE5298" w:rsidP="00EE5298">
      <w:r>
        <w:t xml:space="preserve">Your personal information will remain confidential. Your name/identity will not be used by CIRCA in any written or verbal reports to the Department or anyone else outside of the CIRCA research team. We also ask all focus group participants to not share anything they hear from other participants with anyone outside the focus group. </w:t>
      </w:r>
    </w:p>
    <w:p w14:paraId="2D8284B6" w14:textId="77777777" w:rsidR="00EE5298" w:rsidRDefault="00EE5298" w:rsidP="00EE5298">
      <w:r>
        <w:lastRenderedPageBreak/>
        <w:t>CIRCA will provide the Department the names of the organisations that are contacted for the focus groups, and which organisations participate. As the Department is facilitating its own separate consultations, this will allow the Department to contact organisations who have not already participated in the CIRCA consultations, and therefore minimise confusion and stakeholder fatigue. Individual names of organisation staff who are contacted and participate will not be shared with the Department. The report provided to the Department will be de-identified, and will not be attributed to any specific organisation or individual.</w:t>
      </w:r>
    </w:p>
    <w:p w14:paraId="032A0845" w14:textId="77777777" w:rsidR="00EE5298" w:rsidRDefault="00EE5298" w:rsidP="00EE5298">
      <w:pPr>
        <w:pStyle w:val="BodyHeadingBlue"/>
      </w:pPr>
      <w:r>
        <w:t>Avenue for addressing concerns</w:t>
      </w:r>
    </w:p>
    <w:p w14:paraId="7E8C03D9" w14:textId="77777777" w:rsidR="00EE5298" w:rsidRDefault="00EE5298" w:rsidP="00EE5298">
      <w:r>
        <w:t xml:space="preserve">If you have any concerns about the consultation, please raise them with any member of the CIRCA research team in the first instance, and we will be happy to try to address them for you. We can be reached </w:t>
      </w:r>
      <w:r>
        <w:rPr>
          <w:rFonts w:cs="Arial"/>
        </w:rPr>
        <w:t>on</w:t>
      </w:r>
      <w:r>
        <w:t xml:space="preserve"> (02) 8585 1353 or via email: </w:t>
      </w:r>
      <w:hyperlink r:id="rId18" w:history="1">
        <w:r>
          <w:rPr>
            <w:rStyle w:val="Hyperlink"/>
          </w:rPr>
          <w:t>info@circaresearch.com.au</w:t>
        </w:r>
      </w:hyperlink>
      <w:r>
        <w:t xml:space="preserve"> </w:t>
      </w:r>
    </w:p>
    <w:p w14:paraId="5C7C924B" w14:textId="77777777" w:rsidR="00EE5298" w:rsidRDefault="00EE5298" w:rsidP="00EE5298">
      <w:r>
        <w:t xml:space="preserve">In case of any serious concerns, please contact Lena Etuk, Research &amp; Evaluation Director at CIRCA: (02) 8585 1330, </w:t>
      </w:r>
      <w:hyperlink r:id="rId19" w:history="1">
        <w:r>
          <w:rPr>
            <w:rStyle w:val="Hyperlink"/>
          </w:rPr>
          <w:t>lena@circaresearch.com.au</w:t>
        </w:r>
      </w:hyperlink>
      <w:r>
        <w:t xml:space="preserve"> </w:t>
      </w:r>
    </w:p>
    <w:p w14:paraId="32053EC2" w14:textId="77777777" w:rsidR="00EE5298" w:rsidRDefault="00EE5298" w:rsidP="00EE5298">
      <w:pPr>
        <w:rPr>
          <w:noProof/>
        </w:rPr>
      </w:pPr>
    </w:p>
    <w:p w14:paraId="0E456774" w14:textId="77777777" w:rsidR="00EE5298" w:rsidRDefault="00EE5298" w:rsidP="00EE5298">
      <w:pPr>
        <w:rPr>
          <w:noProof/>
        </w:rPr>
      </w:pPr>
    </w:p>
    <w:p w14:paraId="179E91DA" w14:textId="77777777" w:rsidR="00EE5298" w:rsidRDefault="00EE5298" w:rsidP="00EE5298">
      <w:pPr>
        <w:rPr>
          <w:noProof/>
        </w:rPr>
      </w:pPr>
      <w:r>
        <w:rPr>
          <w:b/>
          <w:bCs/>
          <w:i/>
          <w:iCs/>
          <w:noProof/>
        </w:rPr>
        <w:t>(Participant to keep Participant Information Statement)</w:t>
      </w:r>
    </w:p>
    <w:p w14:paraId="394E2153" w14:textId="77777777" w:rsidR="00640224" w:rsidRPr="00EE5298" w:rsidRDefault="00EE5298" w:rsidP="00EE5298">
      <w:pPr>
        <w:spacing w:after="0" w:line="240" w:lineRule="auto"/>
        <w:rPr>
          <w:b/>
          <w:color w:val="DA291C" w:themeColor="background2"/>
        </w:rPr>
      </w:pPr>
      <w:r>
        <w:br w:type="page"/>
      </w:r>
    </w:p>
    <w:p w14:paraId="056151C9" w14:textId="154CFD8B" w:rsidR="007A75C7" w:rsidRDefault="007A75C7" w:rsidP="001F57F0">
      <w:pPr>
        <w:pStyle w:val="Appendixheading"/>
      </w:pPr>
      <w:bookmarkStart w:id="41" w:name="_Ref130820781"/>
      <w:bookmarkStart w:id="42" w:name="_Toc147910414"/>
      <w:r>
        <w:lastRenderedPageBreak/>
        <w:t xml:space="preserve">Appendix </w:t>
      </w:r>
      <w:r w:rsidR="000E7AF6">
        <w:t>3</w:t>
      </w:r>
      <w:r>
        <w:t xml:space="preserve">: Discussion </w:t>
      </w:r>
      <w:r w:rsidR="004348C0">
        <w:t>g</w:t>
      </w:r>
      <w:r>
        <w:t>uide</w:t>
      </w:r>
      <w:bookmarkEnd w:id="41"/>
      <w:bookmarkEnd w:id="42"/>
    </w:p>
    <w:p w14:paraId="018B3D54" w14:textId="77777777" w:rsidR="00374433" w:rsidRDefault="00374433" w:rsidP="00374433">
      <w:pPr>
        <w:rPr>
          <w:lang w:val="en-US" w:bidi="en-US"/>
        </w:rPr>
      </w:pPr>
      <w:bookmarkStart w:id="43" w:name="_Hlk103338404"/>
      <w:bookmarkStart w:id="44" w:name="_Hlk51592723"/>
      <w:r>
        <w:rPr>
          <w:lang w:val="en-US" w:bidi="en-US"/>
        </w:rPr>
        <w:t>30/01/2023</w:t>
      </w:r>
    </w:p>
    <w:p w14:paraId="55BC608F" w14:textId="77777777" w:rsidR="00374433" w:rsidRDefault="00374433" w:rsidP="00374433">
      <w:pPr>
        <w:rPr>
          <w:i/>
          <w:iCs/>
        </w:rPr>
      </w:pPr>
      <w:r>
        <w:rPr>
          <w:i/>
          <w:iCs/>
        </w:rPr>
        <w:t>(To be read aloud to Focus Group participants at start of focus group)</w:t>
      </w:r>
    </w:p>
    <w:p w14:paraId="36D12BC3" w14:textId="5D08FF72" w:rsidR="00374433" w:rsidRDefault="00374433" w:rsidP="00374433">
      <w:pPr>
        <w:pStyle w:val="BodyHeadingBlue"/>
      </w:pPr>
      <w:r>
        <w:t xml:space="preserve">Introduce </w:t>
      </w:r>
      <w:r w:rsidR="00E274BC">
        <w:t>yourself</w:t>
      </w:r>
    </w:p>
    <w:p w14:paraId="1188A6AB" w14:textId="77777777" w:rsidR="00374433" w:rsidRDefault="00374433" w:rsidP="00374433">
      <w:r>
        <w:t>I am from the Cultural and Indigenous Research Centre Australia (CIRCA) and we are conducting consultation on behalf of the Department of Social Services.</w:t>
      </w:r>
    </w:p>
    <w:p w14:paraId="426EA4E5" w14:textId="578FDB9D" w:rsidR="00374433" w:rsidRDefault="00374433" w:rsidP="00374433">
      <w:pPr>
        <w:pStyle w:val="BodyHeadingBlue"/>
      </w:pPr>
      <w:r>
        <w:t xml:space="preserve">The </w:t>
      </w:r>
      <w:r w:rsidR="00E274BC">
        <w:t>study</w:t>
      </w:r>
    </w:p>
    <w:p w14:paraId="29B8B691" w14:textId="77777777" w:rsidR="00374433" w:rsidRDefault="00374433" w:rsidP="00374433">
      <w:pPr>
        <w:rPr>
          <w:rFonts w:cs="Arial"/>
        </w:rPr>
      </w:pPr>
      <w:bookmarkStart w:id="45" w:name="_Hlk51599430"/>
      <w:r>
        <w:t xml:space="preserve">CIRCA has been engaged by the Department of Social Services (the Department) to conduct consultation on </w:t>
      </w:r>
      <w:r>
        <w:rPr>
          <w:rFonts w:cs="Arial"/>
        </w:rPr>
        <w:t>the Safe Places Emergency Accommodation (Safe Places) program Inclusion Round</w:t>
      </w:r>
      <w:r>
        <w:t xml:space="preserve">. The program </w:t>
      </w:r>
      <w:r>
        <w:rPr>
          <w:rFonts w:cs="Arial"/>
        </w:rPr>
        <w:t>provides capital investment to support the building, renovation or purchase of new emergency accommodation for women and children leaving family and domestic violence. The Inclusion Round will focus on improving access to appropriate emergency accommodation for First Nations women and children, women and children from culturally and linguistically diverse (CALD) backgrounds, and women and children with disability.</w:t>
      </w:r>
    </w:p>
    <w:p w14:paraId="2E409631" w14:textId="77777777" w:rsidR="00374433" w:rsidRDefault="00374433" w:rsidP="00374433">
      <w:pPr>
        <w:rPr>
          <w:b/>
        </w:rPr>
      </w:pPr>
      <w:r>
        <w:t>The feedback from these focus groups will inform the design of the Inclusion Round.</w:t>
      </w:r>
    </w:p>
    <w:p w14:paraId="7ECEB482" w14:textId="36D43B39" w:rsidR="00374433" w:rsidRDefault="00374433" w:rsidP="00374433">
      <w:pPr>
        <w:pStyle w:val="BodyHeadingBlue"/>
        <w:spacing w:line="26" w:lineRule="atLeast"/>
      </w:pPr>
      <w:r>
        <w:t xml:space="preserve">Your </w:t>
      </w:r>
      <w:r w:rsidR="00E274BC">
        <w:t>participation</w:t>
      </w:r>
    </w:p>
    <w:p w14:paraId="5AEFCFD8" w14:textId="77777777" w:rsidR="00374433" w:rsidRDefault="00374433" w:rsidP="00374433">
      <w:r>
        <w:t>Participation in the focus group is voluntary and there is no requirement to answer every question.  You can also choose to withdraw your participation at any time.</w:t>
      </w:r>
    </w:p>
    <w:p w14:paraId="3D056B9C" w14:textId="77777777" w:rsidR="00374433" w:rsidRDefault="00374433" w:rsidP="00374433">
      <w:r>
        <w:t>If you don’t want to or can’t answer any question, we will move on to another question. All comments are welcome – there are no right or wrong answers.</w:t>
      </w:r>
    </w:p>
    <w:p w14:paraId="13FE06DB" w14:textId="77777777" w:rsidR="00374433" w:rsidRDefault="00374433" w:rsidP="00374433">
      <w:pPr>
        <w:rPr>
          <w:sz w:val="20"/>
        </w:rPr>
      </w:pPr>
      <w:r>
        <w:t>If your organisation has any involvement with the Department, including funding streams, giving your feedback to CIRCA will not jeopardise or prejudice this in any way.</w:t>
      </w:r>
    </w:p>
    <w:p w14:paraId="1359C878" w14:textId="77777777" w:rsidR="00374433" w:rsidRDefault="00374433" w:rsidP="00374433">
      <w:pPr>
        <w:pStyle w:val="BodyHeadingBlue"/>
        <w:spacing w:line="26" w:lineRule="atLeast"/>
      </w:pPr>
      <w:r>
        <w:t>Confidentiality</w:t>
      </w:r>
    </w:p>
    <w:p w14:paraId="766C4CF4" w14:textId="77777777" w:rsidR="00374433" w:rsidRDefault="00374433" w:rsidP="00374433">
      <w:r>
        <w:t>The Department will receive a list of organisations that participated in focus groups, but will not be told the names of those who participate. The report provided to the Department will be de-identified, and will not be attributed to any specific organisation or individual. Your personal information will remain confidential. Your name/identity will never be used by CIRCA in any written or verbal reports to the department or anyone else outside of the CIRCA research team. We also ask all focus group participants to not share anything they hear from other participants with anyone outside this focus group.</w:t>
      </w:r>
    </w:p>
    <w:p w14:paraId="33D110AC" w14:textId="77777777" w:rsidR="00374433" w:rsidRDefault="00374433" w:rsidP="00374433">
      <w:pPr>
        <w:pStyle w:val="BodyHeadingBlue"/>
      </w:pPr>
      <w:r>
        <w:t>Audio recording</w:t>
      </w:r>
    </w:p>
    <w:p w14:paraId="76795CD7" w14:textId="77777777" w:rsidR="00374433" w:rsidRDefault="00374433" w:rsidP="00374433">
      <w:r>
        <w:t xml:space="preserve">To ensure that we capture all the points that you raise, we would like to audio-record the discussion. However, our discussion will be kept confidential. The recording will be transferred on to CIRCA’s </w:t>
      </w:r>
      <w:r>
        <w:lastRenderedPageBreak/>
        <w:t xml:space="preserve">computers but will be destroyed once we have made notes and completed an issues-based report. I will ask you in a moment if you consent to recording this conversation. </w:t>
      </w:r>
    </w:p>
    <w:p w14:paraId="28EB9373" w14:textId="77777777" w:rsidR="00374433" w:rsidRDefault="00374433" w:rsidP="00374433">
      <w:pPr>
        <w:pStyle w:val="BodyHeadingBlue"/>
      </w:pPr>
      <w:r>
        <w:t>Avenue for addressing concerns</w:t>
      </w:r>
    </w:p>
    <w:p w14:paraId="7084799E" w14:textId="77777777" w:rsidR="00374433" w:rsidRDefault="00374433" w:rsidP="00374433">
      <w:r>
        <w:t xml:space="preserve">If you have any concerns about the research, please raise them with any member of the CIRCA research team in the first instance, and we will be happy to try and address them for you. We can be reached </w:t>
      </w:r>
      <w:r>
        <w:rPr>
          <w:rFonts w:cs="Arial"/>
        </w:rPr>
        <w:t>on</w:t>
      </w:r>
      <w:r>
        <w:t xml:space="preserve"> (02) 8585 1353 or via e-mail: </w:t>
      </w:r>
      <w:hyperlink r:id="rId20" w:history="1">
        <w:r>
          <w:rPr>
            <w:rStyle w:val="Hyperlink"/>
          </w:rPr>
          <w:t>info@circaresearch.com.au</w:t>
        </w:r>
      </w:hyperlink>
      <w:r>
        <w:t xml:space="preserve"> </w:t>
      </w:r>
    </w:p>
    <w:p w14:paraId="253A903F" w14:textId="77777777" w:rsidR="00374433" w:rsidRDefault="00374433" w:rsidP="00374433">
      <w:r>
        <w:t xml:space="preserve">In case of any serious concerns, please contact Lena Etuk, Research &amp; Evaluation Director at CIRCA: (02) 8585 1330, </w:t>
      </w:r>
      <w:hyperlink r:id="rId21" w:history="1">
        <w:r>
          <w:rPr>
            <w:rStyle w:val="Hyperlink"/>
          </w:rPr>
          <w:t>lena@circaresearch.com.au</w:t>
        </w:r>
      </w:hyperlink>
      <w:r>
        <w:t xml:space="preserve"> </w:t>
      </w:r>
    </w:p>
    <w:p w14:paraId="52BC7F73" w14:textId="77777777" w:rsidR="00374433" w:rsidRDefault="00374433" w:rsidP="00374433">
      <w:pPr>
        <w:pStyle w:val="BodyHeadingBlue"/>
      </w:pPr>
      <w:r>
        <w:t>Questions</w:t>
      </w:r>
    </w:p>
    <w:p w14:paraId="24725252" w14:textId="77777777" w:rsidR="00374433" w:rsidRDefault="00374433" w:rsidP="00374433">
      <w:r>
        <w:t xml:space="preserve">Do you have any questions about this focus group? </w:t>
      </w:r>
      <w:r>
        <w:rPr>
          <w:i/>
          <w:iCs/>
        </w:rPr>
        <w:t>(If Yes, answer questions)</w:t>
      </w:r>
      <w:r>
        <w:t xml:space="preserve"> </w:t>
      </w:r>
    </w:p>
    <w:p w14:paraId="50CCCAB6" w14:textId="77777777" w:rsidR="00374433" w:rsidRDefault="00374433" w:rsidP="00374433">
      <w:r>
        <w:t xml:space="preserve">[If audio-recording consent for phone or videoconference based interviews or focus groups, include this paragraph:] Now that I’ve explained the study and answered any questions you had, in a moment I’ll ask you if you agree to participate in this focus group discussion. Before I do that though, I’ll start the audio recording to document your consent or refusal, and I’ll stop the audio recording if you decide not to do the interview or do not wish to be recorded.  </w:t>
      </w:r>
    </w:p>
    <w:p w14:paraId="5B89876D" w14:textId="77777777" w:rsidR="00374433" w:rsidRDefault="00374433" w:rsidP="00374433">
      <w:pPr>
        <w:pStyle w:val="BodyHeadingBlue"/>
      </w:pPr>
      <w:r>
        <w:t xml:space="preserve">Record consent </w:t>
      </w:r>
    </w:p>
    <w:p w14:paraId="461D3C3C" w14:textId="77777777" w:rsidR="00374433" w:rsidRDefault="00374433" w:rsidP="00374433">
      <w:r>
        <w:t>[If audio-recording consent for phone or videoconference-based interviews or focus groups, include this instruction:] (start the audio-recording)</w:t>
      </w:r>
    </w:p>
    <w:p w14:paraId="6A9CA941" w14:textId="77777777" w:rsidR="00374433" w:rsidRDefault="00374433" w:rsidP="00374433">
      <w:r>
        <w:t xml:space="preserve">Do you agree to do this interview? </w:t>
      </w:r>
      <w:r>
        <w:tab/>
      </w:r>
      <w:r>
        <w:tab/>
        <w:t>Yes/No</w:t>
      </w:r>
    </w:p>
    <w:p w14:paraId="17160C31" w14:textId="77777777" w:rsidR="00374433" w:rsidRDefault="00374433" w:rsidP="00374433">
      <w:r>
        <w:t xml:space="preserve">[If obtaining written consent, include this instruction:] If yes, have participant(s) sign the consent form. If no, ask participant(s) to leave the focus group or interview. </w:t>
      </w:r>
    </w:p>
    <w:p w14:paraId="43DE64A7" w14:textId="77777777" w:rsidR="00374433" w:rsidRDefault="00374433" w:rsidP="00374433">
      <w:r>
        <w:t xml:space="preserve">Are you happy for the interview to be audio-recorded? </w:t>
      </w:r>
      <w:r>
        <w:tab/>
        <w:t xml:space="preserve">Yes/No </w:t>
      </w:r>
      <w:r>
        <w:tab/>
      </w:r>
      <w:r>
        <w:tab/>
        <w:t xml:space="preserve">If no, I will take notes. </w:t>
      </w:r>
    </w:p>
    <w:p w14:paraId="45C844FE" w14:textId="77777777" w:rsidR="00374433" w:rsidRDefault="00374433" w:rsidP="00374433">
      <w:pPr>
        <w:ind w:left="720"/>
      </w:pPr>
      <w:r>
        <w:t>If yes, continue recording</w:t>
      </w:r>
    </w:p>
    <w:p w14:paraId="2F0B9473" w14:textId="77777777" w:rsidR="00374433" w:rsidRDefault="00374433" w:rsidP="00374433">
      <w:pPr>
        <w:ind w:left="720"/>
      </w:pPr>
      <w:r>
        <w:t xml:space="preserve">If no, stop recording and take notes instead </w:t>
      </w:r>
    </w:p>
    <w:p w14:paraId="6A4AC0E3" w14:textId="77777777" w:rsidR="00374433" w:rsidRDefault="00374433" w:rsidP="00374433">
      <w:pPr>
        <w:pStyle w:val="BodyHeadingBlue"/>
      </w:pPr>
      <w:r>
        <w:t>! Field researcher to check:</w:t>
      </w:r>
    </w:p>
    <w:p w14:paraId="50D6BEBF" w14:textId="77777777" w:rsidR="00374433" w:rsidRDefault="004D727B" w:rsidP="00374433">
      <w:pPr>
        <w:spacing w:after="0" w:line="240" w:lineRule="auto"/>
      </w:pPr>
      <w:sdt>
        <w:sdtPr>
          <w:id w:val="1485979355"/>
          <w14:checkbox>
            <w14:checked w14:val="0"/>
            <w14:checkedState w14:val="2612" w14:font="MS Gothic"/>
            <w14:uncheckedState w14:val="2610" w14:font="MS Gothic"/>
          </w14:checkbox>
        </w:sdtPr>
        <w:sdtEndPr/>
        <w:sdtContent>
          <w:r w:rsidR="00374433">
            <w:rPr>
              <w:rFonts w:ascii="Segoe UI Symbol" w:hAnsi="Segoe UI Symbol" w:cs="Segoe UI Symbol"/>
            </w:rPr>
            <w:t>☐</w:t>
          </w:r>
        </w:sdtContent>
      </w:sdt>
      <w:r w:rsidR="00374433">
        <w:t xml:space="preserve">   [In-person] Sign off sheet has been signed by the participants and retained by Researcher</w:t>
      </w:r>
    </w:p>
    <w:p w14:paraId="59609002" w14:textId="77777777" w:rsidR="00374433" w:rsidRDefault="004D727B" w:rsidP="00374433">
      <w:pPr>
        <w:spacing w:after="0" w:line="240" w:lineRule="auto"/>
      </w:pPr>
      <w:sdt>
        <w:sdtPr>
          <w:id w:val="414825328"/>
          <w14:checkbox>
            <w14:checked w14:val="0"/>
            <w14:checkedState w14:val="2612" w14:font="MS Gothic"/>
            <w14:uncheckedState w14:val="2610" w14:font="MS Gothic"/>
          </w14:checkbox>
        </w:sdtPr>
        <w:sdtEndPr/>
        <w:sdtContent>
          <w:r w:rsidR="00374433">
            <w:rPr>
              <w:rFonts w:ascii="Segoe UI Symbol" w:hAnsi="Segoe UI Symbol" w:cs="Segoe UI Symbol"/>
            </w:rPr>
            <w:t>☐</w:t>
          </w:r>
        </w:sdtContent>
      </w:sdt>
      <w:r w:rsidR="00374433">
        <w:t xml:space="preserve">   [Phone or online] Audio-recorded consent obtained from participants </w:t>
      </w:r>
    </w:p>
    <w:p w14:paraId="688188C5" w14:textId="77777777" w:rsidR="00374433" w:rsidRDefault="004D727B" w:rsidP="00374433">
      <w:pPr>
        <w:spacing w:after="0" w:line="240" w:lineRule="auto"/>
      </w:pPr>
      <w:sdt>
        <w:sdtPr>
          <w:id w:val="-1759280128"/>
          <w14:checkbox>
            <w14:checked w14:val="0"/>
            <w14:checkedState w14:val="2612" w14:font="MS Gothic"/>
            <w14:uncheckedState w14:val="2610" w14:font="MS Gothic"/>
          </w14:checkbox>
        </w:sdtPr>
        <w:sdtEndPr/>
        <w:sdtContent>
          <w:r w:rsidR="00374433">
            <w:rPr>
              <w:rFonts w:ascii="Segoe UI Symbol" w:hAnsi="Segoe UI Symbol" w:cs="Segoe UI Symbol"/>
            </w:rPr>
            <w:t>☐</w:t>
          </w:r>
        </w:sdtContent>
      </w:sdt>
      <w:r w:rsidR="00374433">
        <w:t xml:space="preserve">   Participants each have a copy of the Participant Information Sheet</w:t>
      </w:r>
    </w:p>
    <w:p w14:paraId="4C68EAEC" w14:textId="77777777" w:rsidR="00374433" w:rsidRDefault="004D727B" w:rsidP="00374433">
      <w:pPr>
        <w:spacing w:after="0" w:line="240" w:lineRule="auto"/>
      </w:pPr>
      <w:sdt>
        <w:sdtPr>
          <w:id w:val="-600954778"/>
          <w14:checkbox>
            <w14:checked w14:val="0"/>
            <w14:checkedState w14:val="2612" w14:font="MS Gothic"/>
            <w14:uncheckedState w14:val="2610" w14:font="MS Gothic"/>
          </w14:checkbox>
        </w:sdtPr>
        <w:sdtEndPr/>
        <w:sdtContent>
          <w:r w:rsidR="00374433">
            <w:rPr>
              <w:rFonts w:ascii="Segoe UI Symbol" w:hAnsi="Segoe UI Symbol" w:cs="Segoe UI Symbol"/>
            </w:rPr>
            <w:t>☐</w:t>
          </w:r>
        </w:sdtContent>
      </w:sdt>
      <w:r w:rsidR="00374433">
        <w:t xml:space="preserve">   Participants have received their $80 incentive</w:t>
      </w:r>
    </w:p>
    <w:p w14:paraId="70093526" w14:textId="77777777" w:rsidR="00374433" w:rsidRDefault="00374433" w:rsidP="00374433">
      <w:pPr>
        <w:spacing w:after="0" w:line="240" w:lineRule="auto"/>
      </w:pPr>
    </w:p>
    <w:bookmarkEnd w:id="43"/>
    <w:p w14:paraId="2C48F5B5" w14:textId="77777777" w:rsidR="00374433" w:rsidRDefault="00374433" w:rsidP="00374433">
      <w:pPr>
        <w:rPr>
          <w:highlight w:val="cyan"/>
        </w:rPr>
      </w:pPr>
      <w:r>
        <w:rPr>
          <w:highlight w:val="cyan"/>
        </w:rPr>
        <w:br w:type="page"/>
      </w:r>
    </w:p>
    <w:bookmarkEnd w:id="44"/>
    <w:bookmarkEnd w:id="45"/>
    <w:p w14:paraId="0606E0D2" w14:textId="77777777" w:rsidR="00374433" w:rsidRDefault="00374433" w:rsidP="00374433">
      <w:pPr>
        <w:spacing w:after="0" w:line="240" w:lineRule="auto"/>
        <w:rPr>
          <w:highlight w:val="cyan"/>
        </w:rPr>
      </w:pPr>
    </w:p>
    <w:p w14:paraId="50EB9761" w14:textId="5C12D1CF" w:rsidR="00374433" w:rsidRDefault="00374433" w:rsidP="00374433">
      <w:pPr>
        <w:pStyle w:val="BodyHeadingBlue"/>
      </w:pPr>
      <w:r>
        <w:t xml:space="preserve">Specialist </w:t>
      </w:r>
      <w:r w:rsidR="00E274BC">
        <w:t xml:space="preserve">sector engagement </w:t>
      </w:r>
      <w:r>
        <w:t xml:space="preserve">(Safe Places Inclusion Round) - Discussion </w:t>
      </w:r>
      <w:r w:rsidR="00E274BC">
        <w:t>guide</w:t>
      </w:r>
    </w:p>
    <w:p w14:paraId="791B3BD4" w14:textId="77777777" w:rsidR="00374433" w:rsidRDefault="00374433" w:rsidP="00374433">
      <w:pPr>
        <w:rPr>
          <w:i/>
          <w:iCs/>
        </w:rPr>
      </w:pPr>
      <w:r>
        <w:rPr>
          <w:i/>
          <w:iCs/>
        </w:rPr>
        <w:t xml:space="preserve">If at any point during the discussion participants want to know about the broader consultation process run by DSS with sector stakeholders, let them know that consultations are happening later in March. They are welcome to directly contact DSS on this email address about it: </w:t>
      </w:r>
      <w:hyperlink r:id="rId22" w:history="1">
        <w:r>
          <w:rPr>
            <w:rStyle w:val="Hyperlink"/>
            <w:i/>
            <w:iCs/>
          </w:rPr>
          <w:t>SafePlaces@dss.gov.au</w:t>
        </w:r>
      </w:hyperlink>
      <w:r>
        <w:rPr>
          <w:i/>
          <w:iCs/>
        </w:rPr>
        <w:t xml:space="preserve"> </w:t>
      </w:r>
    </w:p>
    <w:p w14:paraId="24D31AD2" w14:textId="77777777" w:rsidR="00374433" w:rsidRDefault="00374433" w:rsidP="00374433">
      <w:pPr>
        <w:rPr>
          <w:i/>
          <w:iCs/>
        </w:rPr>
      </w:pPr>
      <w:r>
        <w:rPr>
          <w:i/>
          <w:iCs/>
        </w:rPr>
        <w:t xml:space="preserve">A Discussion Paper linked to the public consultation is also available here: </w:t>
      </w:r>
      <w:hyperlink r:id="rId23" w:history="1">
        <w:r>
          <w:rPr>
            <w:rStyle w:val="Hyperlink"/>
            <w:i/>
            <w:iCs/>
          </w:rPr>
          <w:t>https://engage.dss.gov.au/safe-places-emergency-accommodation-program-inclusion-round/safe-places-emergency-accommodation-program-inclusion-round-program-design-discussion-paper/</w:t>
        </w:r>
      </w:hyperlink>
      <w:r>
        <w:rPr>
          <w:i/>
          <w:iCs/>
        </w:rPr>
        <w:t xml:space="preserve"> </w:t>
      </w:r>
    </w:p>
    <w:p w14:paraId="51B8A5DB" w14:textId="77777777" w:rsidR="00374433" w:rsidRDefault="00374433" w:rsidP="00374433">
      <w:pPr>
        <w:spacing w:before="120"/>
        <w:rPr>
          <w:szCs w:val="20"/>
        </w:rPr>
      </w:pPr>
      <w:r>
        <w:rPr>
          <w:szCs w:val="20"/>
        </w:rPr>
        <w:t>OBJECTIVE: Getting to know participants and breaking the ice.</w:t>
      </w:r>
    </w:p>
    <w:p w14:paraId="33BFABE9" w14:textId="77777777" w:rsidR="00374433" w:rsidRDefault="00374433" w:rsidP="000E7AF6">
      <w:pPr>
        <w:pStyle w:val="NumberedList"/>
        <w:numPr>
          <w:ilvl w:val="0"/>
          <w:numId w:val="22"/>
        </w:numPr>
        <w:rPr>
          <w:b/>
          <w:bCs/>
          <w:szCs w:val="20"/>
        </w:rPr>
      </w:pPr>
      <w:r>
        <w:rPr>
          <w:b/>
          <w:bCs/>
        </w:rPr>
        <w:t>Let’s start by telling each other a bit about ourselves, what we do, what we know about the Safe Places program?</w:t>
      </w:r>
    </w:p>
    <w:p w14:paraId="5B32CBF4" w14:textId="77777777" w:rsidR="00374433" w:rsidRDefault="00374433" w:rsidP="00374433">
      <w:pPr>
        <w:pStyle w:val="NumberedList"/>
        <w:numPr>
          <w:ilvl w:val="0"/>
          <w:numId w:val="0"/>
        </w:numPr>
        <w:jc w:val="both"/>
        <w:rPr>
          <w:rFonts w:cs="Arial"/>
          <w:color w:val="414141"/>
        </w:rPr>
      </w:pPr>
      <w:r>
        <w:rPr>
          <w:rFonts w:cs="Arial"/>
          <w:color w:val="414141"/>
        </w:rPr>
        <w:t>Brief background on Safe Places Inclusion Round if needed: The Safe Places Emergency Accommodation Program (Safe Places) provides capital works grants to support the renovation, building or purchase of new emergency accommodation for women and children leaving family and domestic violence. The initial round of Safe Places grant funding will deliver 41 projects (of which 9 are currently delivering services) to deliver about 780 new safe places.</w:t>
      </w:r>
    </w:p>
    <w:p w14:paraId="46C74654" w14:textId="77777777" w:rsidR="00374433" w:rsidRDefault="00374433" w:rsidP="00374433">
      <w:pPr>
        <w:pStyle w:val="NumberedList"/>
        <w:numPr>
          <w:ilvl w:val="0"/>
          <w:numId w:val="0"/>
        </w:numPr>
        <w:jc w:val="both"/>
        <w:rPr>
          <w:rFonts w:cs="Arial"/>
          <w:color w:val="414141"/>
        </w:rPr>
      </w:pPr>
      <w:r>
        <w:rPr>
          <w:rFonts w:cs="Arial"/>
          <w:color w:val="414141"/>
        </w:rPr>
        <w:t xml:space="preserve">This round of the Safe Places program is the Inclusion Round, which will fund up to 720 new safe places to assist women and children leaving family and domestic violence. The Inclusion Round will focus on improving access to appropriate emergency accommodation for First Nations women and children, women and children from culturally and linguistically diverse (CALD) backgrounds, and women and children with disability. </w:t>
      </w:r>
    </w:p>
    <w:p w14:paraId="65E1D390" w14:textId="77777777" w:rsidR="00374433" w:rsidRDefault="00374433" w:rsidP="00374433">
      <w:pPr>
        <w:pStyle w:val="NumberedList"/>
        <w:numPr>
          <w:ilvl w:val="0"/>
          <w:numId w:val="0"/>
        </w:numPr>
        <w:jc w:val="both"/>
        <w:rPr>
          <w:rFonts w:cs="Arial"/>
          <w:color w:val="414141"/>
        </w:rPr>
      </w:pPr>
      <w:r>
        <w:rPr>
          <w:rFonts w:cs="Arial"/>
          <w:color w:val="414141"/>
        </w:rPr>
        <w:t xml:space="preserve">A Discussion Paper about the Inclusion Round has also been </w:t>
      </w:r>
      <w:hyperlink r:id="rId24" w:history="1">
        <w:r>
          <w:rPr>
            <w:rStyle w:val="Hyperlink"/>
            <w:rFonts w:cs="Arial"/>
          </w:rPr>
          <w:t>published online</w:t>
        </w:r>
      </w:hyperlink>
      <w:r>
        <w:rPr>
          <w:rFonts w:cs="Arial"/>
          <w:color w:val="414141"/>
        </w:rPr>
        <w:t xml:space="preserve"> for written submissions from the public. We will look at some aspects of this in the group, to get your feedback. </w:t>
      </w:r>
    </w:p>
    <w:p w14:paraId="237E2D5B" w14:textId="77777777" w:rsidR="00374433" w:rsidRDefault="00374433" w:rsidP="00374433">
      <w:pPr>
        <w:spacing w:before="120"/>
        <w:rPr>
          <w:color w:val="414141"/>
          <w:szCs w:val="20"/>
        </w:rPr>
      </w:pPr>
      <w:r>
        <w:rPr>
          <w:szCs w:val="20"/>
        </w:rPr>
        <w:t>OBJECTIVE: To understand the way accommodation can be constructed to be more universally accessible and appropriate.</w:t>
      </w:r>
    </w:p>
    <w:p w14:paraId="3A9EC111" w14:textId="77777777" w:rsidR="000E7AF6" w:rsidRDefault="00374433" w:rsidP="000E7AF6">
      <w:pPr>
        <w:pStyle w:val="NumberedList"/>
        <w:numPr>
          <w:ilvl w:val="0"/>
          <w:numId w:val="22"/>
        </w:numPr>
        <w:rPr>
          <w:b/>
          <w:bCs/>
        </w:rPr>
      </w:pPr>
      <w:r>
        <w:rPr>
          <w:b/>
          <w:bCs/>
        </w:rPr>
        <w:t xml:space="preserve">In your experience, what are the physical design features needed within emergency accommodation to support victim-survivor women and children from [First Nations/CALD/disability backgrounds]? </w:t>
      </w:r>
    </w:p>
    <w:p w14:paraId="77618E2D" w14:textId="77777777" w:rsidR="000E7AF6" w:rsidRDefault="00374433" w:rsidP="000E7AF6">
      <w:pPr>
        <w:pStyle w:val="NumberedList"/>
        <w:numPr>
          <w:ilvl w:val="1"/>
          <w:numId w:val="22"/>
        </w:numPr>
        <w:rPr>
          <w:b/>
          <w:bCs/>
        </w:rPr>
      </w:pPr>
      <w:r>
        <w:t>PROMPT: layout, size of the rooms, number of rooms, number of beds, safety features, location in the community, how near or far it was to shops or places you needed to go, staff, the way access to the building was set up, the way the rooms were laid out, the people who lived nearby, age of the building</w:t>
      </w:r>
    </w:p>
    <w:p w14:paraId="74984EDA" w14:textId="77777777" w:rsidR="00374433" w:rsidRPr="000E7AF6" w:rsidRDefault="00374433" w:rsidP="000E7AF6">
      <w:pPr>
        <w:pStyle w:val="NumberedList"/>
        <w:numPr>
          <w:ilvl w:val="1"/>
          <w:numId w:val="22"/>
        </w:numPr>
        <w:rPr>
          <w:b/>
          <w:bCs/>
        </w:rPr>
      </w:pPr>
      <w:r w:rsidRPr="000E7AF6">
        <w:rPr>
          <w:bCs/>
        </w:rPr>
        <w:t>Is communal style living more appropriate for some cohorts?</w:t>
      </w:r>
    </w:p>
    <w:p w14:paraId="121600CD" w14:textId="77777777" w:rsidR="000E7AF6" w:rsidRDefault="00374433" w:rsidP="000E7AF6">
      <w:pPr>
        <w:pStyle w:val="NumberedList"/>
        <w:numPr>
          <w:ilvl w:val="0"/>
          <w:numId w:val="22"/>
        </w:numPr>
        <w:rPr>
          <w:b/>
          <w:bCs/>
        </w:rPr>
      </w:pPr>
      <w:r w:rsidRPr="000E7AF6">
        <w:rPr>
          <w:b/>
          <w:bCs/>
        </w:rPr>
        <w:lastRenderedPageBreak/>
        <w:t xml:space="preserve">Is the </w:t>
      </w:r>
      <w:bookmarkStart w:id="46" w:name="_Hlk127281275"/>
      <w:r w:rsidRPr="000E7AF6">
        <w:rPr>
          <w:b/>
          <w:bCs/>
        </w:rPr>
        <w:t xml:space="preserve">Silver Livable Housing Australia </w:t>
      </w:r>
      <w:bookmarkEnd w:id="46"/>
      <w:r w:rsidRPr="000E7AF6">
        <w:rPr>
          <w:b/>
          <w:bCs/>
        </w:rPr>
        <w:t>standard appropriate for emergency housing? [if required, show participants Silver Level core design elements]</w:t>
      </w:r>
    </w:p>
    <w:p w14:paraId="712978D5" w14:textId="77777777" w:rsidR="000E7AF6" w:rsidRDefault="00374433" w:rsidP="000E7AF6">
      <w:pPr>
        <w:pStyle w:val="NumberedList"/>
        <w:numPr>
          <w:ilvl w:val="1"/>
          <w:numId w:val="22"/>
        </w:numPr>
        <w:rPr>
          <w:b/>
          <w:bCs/>
        </w:rPr>
      </w:pPr>
      <w:r>
        <w:t>Is</w:t>
      </w:r>
      <w:r w:rsidRPr="000E7AF6">
        <w:rPr>
          <w:bCs/>
        </w:rPr>
        <w:t xml:space="preserve"> it too strict/not strict enough? </w:t>
      </w:r>
    </w:p>
    <w:p w14:paraId="5F0D84B4" w14:textId="77777777" w:rsidR="00374433" w:rsidRPr="000E7AF6" w:rsidRDefault="00374433" w:rsidP="000E7AF6">
      <w:pPr>
        <w:pStyle w:val="NumberedList"/>
        <w:numPr>
          <w:ilvl w:val="1"/>
          <w:numId w:val="22"/>
        </w:numPr>
        <w:rPr>
          <w:b/>
          <w:bCs/>
        </w:rPr>
      </w:pPr>
      <w:r>
        <w:t xml:space="preserve">Is the Silver Standard appropriate for some cohorts but not for others? Which ones? </w:t>
      </w:r>
    </w:p>
    <w:p w14:paraId="24A8DB03" w14:textId="77777777" w:rsidR="00374433" w:rsidRDefault="00374433" w:rsidP="00374433">
      <w:pPr>
        <w:spacing w:before="120"/>
        <w:rPr>
          <w:color w:val="414141"/>
          <w:szCs w:val="20"/>
        </w:rPr>
      </w:pPr>
      <w:r>
        <w:rPr>
          <w:szCs w:val="20"/>
        </w:rPr>
        <w:t xml:space="preserve">OBJECTIVE: to understand the kind of wrap around services that should be available to make emergency accommodation safer and more appropriate for the identified groups. </w:t>
      </w:r>
    </w:p>
    <w:p w14:paraId="7CE6D1F6" w14:textId="77777777" w:rsidR="000E7AF6" w:rsidRDefault="00374433" w:rsidP="000E7AF6">
      <w:pPr>
        <w:pStyle w:val="NumberedList"/>
        <w:numPr>
          <w:ilvl w:val="0"/>
          <w:numId w:val="22"/>
        </w:numPr>
        <w:rPr>
          <w:b/>
          <w:bCs/>
        </w:rPr>
      </w:pPr>
      <w:r>
        <w:rPr>
          <w:b/>
          <w:bCs/>
        </w:rPr>
        <w:t>What supports and services do you think victim-survivor women and children from [First Nations/CALD/disability] backgrounds need while they are living in emergency accommodation?</w:t>
      </w:r>
    </w:p>
    <w:p w14:paraId="3E11BC55" w14:textId="5907E73C" w:rsidR="000E7AF6" w:rsidRDefault="00374433" w:rsidP="000E7AF6">
      <w:pPr>
        <w:pStyle w:val="NumberedList"/>
        <w:numPr>
          <w:ilvl w:val="1"/>
          <w:numId w:val="22"/>
        </w:numPr>
        <w:rPr>
          <w:b/>
          <w:bCs/>
        </w:rPr>
      </w:pPr>
      <w:r w:rsidRPr="000E7AF6">
        <w:rPr>
          <w:bCs/>
        </w:rPr>
        <w:t xml:space="preserve">PROMPT: employment services, legal services, childcare, cultural services, disability support, health services, language support, etc. </w:t>
      </w:r>
    </w:p>
    <w:p w14:paraId="4972ED5C" w14:textId="77777777" w:rsidR="000E7AF6" w:rsidRDefault="00374433" w:rsidP="000E7AF6">
      <w:pPr>
        <w:pStyle w:val="NumberedList"/>
        <w:numPr>
          <w:ilvl w:val="2"/>
          <w:numId w:val="22"/>
        </w:numPr>
        <w:rPr>
          <w:b/>
          <w:bCs/>
        </w:rPr>
      </w:pPr>
      <w:r w:rsidRPr="000E7AF6">
        <w:rPr>
          <w:bCs/>
        </w:rPr>
        <w:t>Which of these are most critical for victim-survivors?</w:t>
      </w:r>
    </w:p>
    <w:p w14:paraId="5908AC26" w14:textId="77777777" w:rsidR="000E7AF6" w:rsidRDefault="00374433" w:rsidP="000E7AF6">
      <w:pPr>
        <w:pStyle w:val="NumberedList"/>
        <w:numPr>
          <w:ilvl w:val="2"/>
          <w:numId w:val="22"/>
        </w:numPr>
        <w:rPr>
          <w:b/>
          <w:bCs/>
        </w:rPr>
      </w:pPr>
      <w:r w:rsidRPr="000E7AF6">
        <w:rPr>
          <w:bCs/>
        </w:rPr>
        <w:t xml:space="preserve">At what point in time do victim-survivors need these supports and services? For example, just when they move in, or </w:t>
      </w:r>
      <w:r>
        <w:t>just when facing certain challenges</w:t>
      </w:r>
      <w:r w:rsidRPr="000E7AF6">
        <w:rPr>
          <w:bCs/>
        </w:rPr>
        <w:t>?</w:t>
      </w:r>
    </w:p>
    <w:p w14:paraId="3CC123D1" w14:textId="77777777" w:rsidR="00374433" w:rsidRPr="000E7AF6" w:rsidRDefault="00374433" w:rsidP="000E7AF6">
      <w:pPr>
        <w:pStyle w:val="NumberedList"/>
        <w:numPr>
          <w:ilvl w:val="2"/>
          <w:numId w:val="22"/>
        </w:numPr>
        <w:rPr>
          <w:b/>
          <w:bCs/>
        </w:rPr>
      </w:pPr>
      <w:r>
        <w:t xml:space="preserve">What services need to be within geographic proximity and what services can be provided remotely? </w:t>
      </w:r>
    </w:p>
    <w:p w14:paraId="5887E5FC" w14:textId="77777777" w:rsidR="00374433" w:rsidRDefault="00374433" w:rsidP="00374433">
      <w:pPr>
        <w:spacing w:before="120"/>
      </w:pPr>
      <w:r>
        <w:rPr>
          <w:szCs w:val="20"/>
        </w:rPr>
        <w:t>OBJECTIVE: to build the knowledge of the department’s assessment team and select the most appropriate applications</w:t>
      </w:r>
      <w:r>
        <w:t>.</w:t>
      </w:r>
    </w:p>
    <w:p w14:paraId="708EE550" w14:textId="77777777" w:rsidR="00374433" w:rsidRPr="000E7AF6" w:rsidRDefault="00374433" w:rsidP="000E7AF6">
      <w:pPr>
        <w:pStyle w:val="NumberedList"/>
        <w:numPr>
          <w:ilvl w:val="0"/>
          <w:numId w:val="22"/>
        </w:numPr>
        <w:rPr>
          <w:b/>
          <w:bCs/>
        </w:rPr>
      </w:pPr>
      <w:r w:rsidRPr="000E7AF6">
        <w:rPr>
          <w:b/>
          <w:bCs/>
        </w:rPr>
        <w:t>How can grant applicants best show that they can provide meaningful links to the services/supports that victim-survivor women and children need while living in emergency accommodation?</w:t>
      </w:r>
    </w:p>
    <w:p w14:paraId="35001610" w14:textId="77777777" w:rsidR="000E7AF6" w:rsidRDefault="00374433" w:rsidP="000E7AF6">
      <w:pPr>
        <w:pStyle w:val="NumberedList"/>
        <w:numPr>
          <w:ilvl w:val="0"/>
          <w:numId w:val="22"/>
        </w:numPr>
        <w:rPr>
          <w:b/>
          <w:bCs/>
        </w:rPr>
      </w:pPr>
      <w:r w:rsidRPr="000E7AF6">
        <w:rPr>
          <w:b/>
          <w:bCs/>
        </w:rPr>
        <w:t xml:space="preserve">What should a grant assessment team look out for as red flags that suggest an application is not appropriate to provide a) emergency accommodation and/or b) services for victim-survivor women and children from a [First Nations/CALD/disability] background? </w:t>
      </w:r>
    </w:p>
    <w:p w14:paraId="5F5B4225" w14:textId="77777777" w:rsidR="00374433" w:rsidRPr="000E7AF6" w:rsidRDefault="00374433" w:rsidP="000E7AF6">
      <w:pPr>
        <w:pStyle w:val="NumberedList"/>
        <w:numPr>
          <w:ilvl w:val="1"/>
          <w:numId w:val="22"/>
        </w:numPr>
        <w:rPr>
          <w:b/>
          <w:bCs/>
        </w:rPr>
      </w:pPr>
      <w:r>
        <w:t>Are there essentials (policies/services/procedures) that would cause you concern if they were missing from an application?</w:t>
      </w:r>
    </w:p>
    <w:p w14:paraId="4B057994" w14:textId="77777777" w:rsidR="00374433" w:rsidRDefault="00374433" w:rsidP="00374433">
      <w:pPr>
        <w:spacing w:before="120"/>
        <w:rPr>
          <w:szCs w:val="20"/>
        </w:rPr>
      </w:pPr>
      <w:r>
        <w:rPr>
          <w:szCs w:val="20"/>
        </w:rPr>
        <w:t>OBJECTIVE: to understand how the department can encourage all eligible organisations to apply.</w:t>
      </w:r>
    </w:p>
    <w:p w14:paraId="2C161170" w14:textId="77777777" w:rsidR="000E7AF6" w:rsidRDefault="00374433" w:rsidP="000E7AF6">
      <w:pPr>
        <w:pStyle w:val="NumberedList"/>
        <w:numPr>
          <w:ilvl w:val="0"/>
          <w:numId w:val="22"/>
        </w:numPr>
        <w:rPr>
          <w:b/>
          <w:bCs/>
        </w:rPr>
      </w:pPr>
      <w:r>
        <w:rPr>
          <w:b/>
          <w:bCs/>
        </w:rPr>
        <w:t>When you have applied for similar grants, what has worked well that could be applied in the Inclusion Round grant application process?</w:t>
      </w:r>
    </w:p>
    <w:p w14:paraId="65A7B407" w14:textId="77777777" w:rsidR="000E7AF6" w:rsidRDefault="00374433" w:rsidP="000E7AF6">
      <w:pPr>
        <w:pStyle w:val="NumberedList"/>
        <w:numPr>
          <w:ilvl w:val="1"/>
          <w:numId w:val="22"/>
        </w:numPr>
        <w:rPr>
          <w:b/>
          <w:bCs/>
        </w:rPr>
      </w:pPr>
      <w:r w:rsidRPr="000E7AF6">
        <w:rPr>
          <w:bCs/>
        </w:rPr>
        <w:lastRenderedPageBreak/>
        <w:t xml:space="preserve">PROMPT: </w:t>
      </w:r>
      <w:r>
        <w:t>would any of the grant application requirements outlined in the Discussion Paper be a barrier to your organisation to applying? [</w:t>
      </w:r>
      <w:r w:rsidRPr="000E7AF6">
        <w:rPr>
          <w:i/>
          <w:iCs/>
        </w:rPr>
        <w:t>Show grant application requirements</w:t>
      </w:r>
      <w:r>
        <w:t>]</w:t>
      </w:r>
    </w:p>
    <w:p w14:paraId="6DB24F2D" w14:textId="77777777" w:rsidR="000E7AF6" w:rsidRDefault="00374433" w:rsidP="000E7AF6">
      <w:pPr>
        <w:pStyle w:val="NumberedList"/>
        <w:numPr>
          <w:ilvl w:val="1"/>
          <w:numId w:val="22"/>
        </w:numPr>
        <w:rPr>
          <w:b/>
          <w:bCs/>
        </w:rPr>
      </w:pPr>
      <w:r>
        <w:t>PROMPT:  In your experience of applying for grants online, what are some of the barriers you have faced – time, expertise (lack of)?</w:t>
      </w:r>
    </w:p>
    <w:p w14:paraId="6C945AFF" w14:textId="77777777" w:rsidR="000E7AF6" w:rsidRDefault="00374433" w:rsidP="000E7AF6">
      <w:pPr>
        <w:pStyle w:val="NumberedList"/>
        <w:numPr>
          <w:ilvl w:val="1"/>
          <w:numId w:val="22"/>
        </w:numPr>
        <w:rPr>
          <w:b/>
          <w:bCs/>
        </w:rPr>
      </w:pPr>
      <w:r w:rsidRPr="000E7AF6">
        <w:rPr>
          <w:bCs/>
        </w:rPr>
        <w:t xml:space="preserve">What supports and resources could the department provide to assist organisations when they are applying? </w:t>
      </w:r>
    </w:p>
    <w:p w14:paraId="1273C6F9" w14:textId="77777777" w:rsidR="00374433" w:rsidRPr="000E7AF6" w:rsidRDefault="00374433" w:rsidP="000E7AF6">
      <w:pPr>
        <w:pStyle w:val="NumberedList"/>
        <w:numPr>
          <w:ilvl w:val="1"/>
          <w:numId w:val="22"/>
        </w:numPr>
        <w:rPr>
          <w:b/>
          <w:bCs/>
        </w:rPr>
      </w:pPr>
      <w:r>
        <w:t>Would the development periods outlined in the Discussion Paper be appropriate for your organisation? Why or why not? [</w:t>
      </w:r>
      <w:r w:rsidRPr="000E7AF6">
        <w:rPr>
          <w:i/>
          <w:iCs/>
        </w:rPr>
        <w:t>Show development periods</w:t>
      </w:r>
      <w:r>
        <w:t>]</w:t>
      </w:r>
    </w:p>
    <w:p w14:paraId="7EA50C4E" w14:textId="77777777" w:rsidR="00374433" w:rsidRDefault="00374433" w:rsidP="00374433">
      <w:pPr>
        <w:spacing w:before="120"/>
        <w:rPr>
          <w:szCs w:val="20"/>
        </w:rPr>
      </w:pPr>
      <w:r>
        <w:rPr>
          <w:szCs w:val="20"/>
        </w:rPr>
        <w:t>OBJECTIVE: to understand how the department can support all successful organisations throughout the life of the project.</w:t>
      </w:r>
    </w:p>
    <w:p w14:paraId="1CD601FA" w14:textId="77777777" w:rsidR="000E7AF6" w:rsidRDefault="00374433" w:rsidP="000E7AF6">
      <w:pPr>
        <w:pStyle w:val="NumberedList"/>
        <w:numPr>
          <w:ilvl w:val="0"/>
          <w:numId w:val="22"/>
        </w:numPr>
        <w:rPr>
          <w:b/>
          <w:bCs/>
        </w:rPr>
      </w:pPr>
      <w:r>
        <w:rPr>
          <w:b/>
          <w:bCs/>
        </w:rPr>
        <w:t>When you have managed similar projects, what has worked well that could be applied in the Inclusion Round (capital works focus preferred)?</w:t>
      </w:r>
    </w:p>
    <w:p w14:paraId="59168E30" w14:textId="77777777" w:rsidR="00374433" w:rsidRPr="000E7AF6" w:rsidRDefault="00374433" w:rsidP="000E7AF6">
      <w:pPr>
        <w:pStyle w:val="NumberedList"/>
        <w:numPr>
          <w:ilvl w:val="1"/>
          <w:numId w:val="22"/>
        </w:numPr>
        <w:rPr>
          <w:b/>
          <w:bCs/>
        </w:rPr>
      </w:pPr>
      <w:r w:rsidRPr="000E7AF6">
        <w:rPr>
          <w:bCs/>
        </w:rPr>
        <w:t>PROMPT: What supports and resources could the department provide to assist successful organisations in managing the project?</w:t>
      </w:r>
    </w:p>
    <w:p w14:paraId="5159B462" w14:textId="77777777" w:rsidR="000E7AF6" w:rsidRDefault="00374433" w:rsidP="000E7AF6">
      <w:pPr>
        <w:pStyle w:val="NumberedList"/>
        <w:numPr>
          <w:ilvl w:val="0"/>
          <w:numId w:val="22"/>
        </w:numPr>
        <w:rPr>
          <w:b/>
          <w:bCs/>
        </w:rPr>
      </w:pPr>
      <w:r>
        <w:rPr>
          <w:b/>
          <w:bCs/>
        </w:rPr>
        <w:t>(For Regional/Remote focus groups) Are there any additional opportunities and challenges particular to regional and remote areas?</w:t>
      </w:r>
    </w:p>
    <w:p w14:paraId="7969F17C" w14:textId="77777777" w:rsidR="000E7AF6" w:rsidRDefault="00374433" w:rsidP="000E7AF6">
      <w:pPr>
        <w:pStyle w:val="NumberedList"/>
        <w:numPr>
          <w:ilvl w:val="1"/>
          <w:numId w:val="22"/>
        </w:numPr>
        <w:rPr>
          <w:b/>
          <w:bCs/>
        </w:rPr>
      </w:pPr>
      <w:r w:rsidRPr="000E7AF6">
        <w:rPr>
          <w:bCs/>
        </w:rPr>
        <w:t xml:space="preserve">PROMPT: Are there extra cost factors in construction? </w:t>
      </w:r>
    </w:p>
    <w:p w14:paraId="706212BD" w14:textId="77777777" w:rsidR="00374433" w:rsidRPr="000E7AF6" w:rsidRDefault="00374433" w:rsidP="000E7AF6">
      <w:pPr>
        <w:pStyle w:val="NumberedList"/>
        <w:numPr>
          <w:ilvl w:val="1"/>
          <w:numId w:val="22"/>
        </w:numPr>
        <w:rPr>
          <w:b/>
          <w:bCs/>
        </w:rPr>
      </w:pPr>
      <w:r w:rsidRPr="000E7AF6">
        <w:rPr>
          <w:bCs/>
        </w:rPr>
        <w:t>What aspects of service delivery would be different from urban areas?</w:t>
      </w:r>
    </w:p>
    <w:p w14:paraId="7D75BDB0" w14:textId="77777777" w:rsidR="00374433" w:rsidRDefault="00374433" w:rsidP="000E7AF6">
      <w:pPr>
        <w:pStyle w:val="NumberedList"/>
        <w:numPr>
          <w:ilvl w:val="0"/>
          <w:numId w:val="22"/>
        </w:numPr>
        <w:rPr>
          <w:b/>
          <w:bCs/>
        </w:rPr>
      </w:pPr>
      <w:r>
        <w:rPr>
          <w:b/>
          <w:bCs/>
        </w:rPr>
        <w:t>(For smaller organisations, ACCOs and community organisations)</w:t>
      </w:r>
      <w:r w:rsidRPr="000E7AF6">
        <w:rPr>
          <w:b/>
          <w:bCs/>
        </w:rPr>
        <w:t xml:space="preserve"> </w:t>
      </w:r>
      <w:r>
        <w:rPr>
          <w:b/>
          <w:bCs/>
        </w:rPr>
        <w:t>Are there any additional opportunities and challenges particular to smaller organisations, including ACCHOs and community organisations?</w:t>
      </w:r>
    </w:p>
    <w:p w14:paraId="28FB11D5" w14:textId="77777777" w:rsidR="00374433" w:rsidRDefault="00374433" w:rsidP="00374433">
      <w:pPr>
        <w:spacing w:before="120"/>
        <w:rPr>
          <w:szCs w:val="20"/>
        </w:rPr>
      </w:pPr>
      <w:r>
        <w:rPr>
          <w:szCs w:val="20"/>
        </w:rPr>
        <w:t>OBJECTIVE: provide an opportunity to give last thoughts or ask questions and wrap up the session.</w:t>
      </w:r>
    </w:p>
    <w:p w14:paraId="42E7ECD3" w14:textId="77777777" w:rsidR="00374433" w:rsidRDefault="00374433" w:rsidP="000E7AF6">
      <w:pPr>
        <w:pStyle w:val="NumberedList"/>
        <w:numPr>
          <w:ilvl w:val="0"/>
          <w:numId w:val="22"/>
        </w:numPr>
        <w:rPr>
          <w:b/>
          <w:szCs w:val="20"/>
        </w:rPr>
      </w:pPr>
      <w:r w:rsidRPr="000E7AF6">
        <w:rPr>
          <w:b/>
          <w:bCs/>
        </w:rPr>
        <w:t>Is there anything else that anyone would like to add to the things we’ve discussed today?</w:t>
      </w:r>
    </w:p>
    <w:p w14:paraId="56752953" w14:textId="77777777" w:rsidR="00374433" w:rsidRDefault="00374433" w:rsidP="00374433">
      <w:pPr>
        <w:pStyle w:val="NumberedList"/>
        <w:numPr>
          <w:ilvl w:val="0"/>
          <w:numId w:val="0"/>
        </w:numPr>
      </w:pPr>
    </w:p>
    <w:p w14:paraId="67BF4AB6" w14:textId="77777777" w:rsidR="006B7BCC" w:rsidRDefault="006B7BCC">
      <w:pPr>
        <w:spacing w:after="0" w:line="240" w:lineRule="auto"/>
      </w:pPr>
      <w:r>
        <w:br w:type="page"/>
      </w:r>
    </w:p>
    <w:p w14:paraId="30A22819" w14:textId="17CB2D21" w:rsidR="00640224" w:rsidRDefault="006B7BCC" w:rsidP="001F57F0">
      <w:pPr>
        <w:pStyle w:val="Appendixheading"/>
      </w:pPr>
      <w:bookmarkStart w:id="47" w:name="_Ref130828743"/>
      <w:bookmarkStart w:id="48" w:name="_Toc147910415"/>
      <w:r>
        <w:lastRenderedPageBreak/>
        <w:t xml:space="preserve">Appendix </w:t>
      </w:r>
      <w:r w:rsidR="000E7AF6">
        <w:t>4</w:t>
      </w:r>
      <w:r>
        <w:t xml:space="preserve">: </w:t>
      </w:r>
      <w:r w:rsidR="00774A34">
        <w:t>F</w:t>
      </w:r>
      <w:r>
        <w:t xml:space="preserve">ocus </w:t>
      </w:r>
      <w:r w:rsidR="004348C0">
        <w:t>g</w:t>
      </w:r>
      <w:r>
        <w:t xml:space="preserve">roup </w:t>
      </w:r>
      <w:r w:rsidR="004348C0">
        <w:t>s</w:t>
      </w:r>
      <w:r>
        <w:t>timulus</w:t>
      </w:r>
      <w:bookmarkEnd w:id="47"/>
      <w:bookmarkEnd w:id="48"/>
    </w:p>
    <w:p w14:paraId="57E903D9" w14:textId="77777777" w:rsidR="00B13413" w:rsidRPr="0090046B" w:rsidRDefault="006B7BCC" w:rsidP="007A75C7">
      <w:r>
        <w:rPr>
          <w:noProof/>
          <w:lang w:eastAsia="en-AU"/>
        </w:rPr>
        <w:drawing>
          <wp:inline distT="0" distB="0" distL="0" distR="0" wp14:anchorId="1012308F" wp14:editId="230E0816">
            <wp:extent cx="6096635" cy="3429000"/>
            <wp:effectExtent l="0" t="0" r="0" b="0"/>
            <wp:docPr id="4" name="Picture 4" descr="LHA Silver Level Core Design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HA Silver Level Core Design Element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21458196" w14:textId="77777777" w:rsidR="00270308" w:rsidRDefault="006B7BCC" w:rsidP="007A75C7">
      <w:pPr>
        <w:rPr>
          <w:noProof/>
        </w:rPr>
      </w:pPr>
      <w:r>
        <w:rPr>
          <w:noProof/>
          <w:lang w:eastAsia="en-AU"/>
        </w:rPr>
        <w:drawing>
          <wp:inline distT="0" distB="0" distL="0" distR="0" wp14:anchorId="63ECEB16" wp14:editId="6C23F955">
            <wp:extent cx="6096635" cy="3429000"/>
            <wp:effectExtent l="0" t="0" r="0" b="0"/>
            <wp:docPr id="2" name="Picture 2" descr="Potential eligibility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otential eligibility criteri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02892499" w14:textId="77777777" w:rsidR="006B7BCC" w:rsidRDefault="006B7BCC" w:rsidP="006B7BCC">
      <w:pPr>
        <w:rPr>
          <w:noProof/>
        </w:rPr>
      </w:pPr>
    </w:p>
    <w:p w14:paraId="0E0AF45C" w14:textId="77777777" w:rsidR="006B7BCC" w:rsidRDefault="006B7BCC" w:rsidP="006B7BCC">
      <w:pPr>
        <w:rPr>
          <w:noProof/>
          <w:lang w:eastAsia="en-AU"/>
        </w:rPr>
      </w:pPr>
      <w:r>
        <w:rPr>
          <w:noProof/>
          <w:lang w:eastAsia="en-AU"/>
        </w:rPr>
        <w:lastRenderedPageBreak/>
        <w:drawing>
          <wp:inline distT="0" distB="0" distL="0" distR="0" wp14:anchorId="0B1F7921" wp14:editId="7FB75C8E">
            <wp:extent cx="6096635" cy="3429000"/>
            <wp:effectExtent l="0" t="0" r="0" b="0"/>
            <wp:docPr id="6" name="Picture 6" descr="Development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velopment period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226AA995" w14:textId="77777777" w:rsidR="003D4F60" w:rsidRPr="000E4521" w:rsidRDefault="003D4F60" w:rsidP="003D4F60"/>
    <w:p w14:paraId="067F3B92" w14:textId="77777777" w:rsidR="003D4F60" w:rsidRPr="000E4521" w:rsidRDefault="003D4F60" w:rsidP="003D4F60"/>
    <w:p w14:paraId="244545D6" w14:textId="77777777" w:rsidR="003D4F60" w:rsidRPr="000E4521" w:rsidRDefault="003D4F60" w:rsidP="003D4F60"/>
    <w:p w14:paraId="3C660BED" w14:textId="77777777" w:rsidR="003D4F60" w:rsidRDefault="003D4F60" w:rsidP="003D4F60">
      <w:pPr>
        <w:rPr>
          <w:noProof/>
          <w:lang w:eastAsia="en-AU"/>
        </w:rPr>
      </w:pPr>
    </w:p>
    <w:p w14:paraId="1F02498E" w14:textId="53C46A5F" w:rsidR="003D4F60" w:rsidRDefault="003D4F60" w:rsidP="001F57F0">
      <w:pPr>
        <w:pStyle w:val="Appendixheading"/>
      </w:pPr>
      <w:bookmarkStart w:id="49" w:name="_Ref132717884"/>
      <w:bookmarkStart w:id="50" w:name="_Toc147910416"/>
      <w:r>
        <w:lastRenderedPageBreak/>
        <w:t xml:space="preserve">Appendix 5: Participant </w:t>
      </w:r>
      <w:r w:rsidR="004348C0">
        <w:t>p</w:t>
      </w:r>
      <w:r>
        <w:t>rofiles</w:t>
      </w:r>
      <w:bookmarkEnd w:id="49"/>
      <w:bookmarkEnd w:id="50"/>
    </w:p>
    <w:p w14:paraId="71FEE03E" w14:textId="5D8C0F9F" w:rsidR="00F37F7B" w:rsidRDefault="00F37F7B" w:rsidP="001960B6">
      <w:pPr>
        <w:pStyle w:val="Caption"/>
        <w:keepNext/>
        <w:spacing w:line="240" w:lineRule="auto"/>
      </w:pPr>
      <w:r w:rsidRPr="00F37F7B">
        <w:rPr>
          <w:b/>
          <w:bCs/>
        </w:rPr>
        <w:t xml:space="preserve">Table </w:t>
      </w:r>
      <w:r w:rsidRPr="00F37F7B">
        <w:rPr>
          <w:b/>
          <w:bCs/>
        </w:rPr>
        <w:fldChar w:fldCharType="begin"/>
      </w:r>
      <w:r w:rsidRPr="00F37F7B">
        <w:rPr>
          <w:b/>
          <w:bCs/>
        </w:rPr>
        <w:instrText xml:space="preserve"> SEQ Table \* ARABIC </w:instrText>
      </w:r>
      <w:r w:rsidRPr="00F37F7B">
        <w:rPr>
          <w:b/>
          <w:bCs/>
        </w:rPr>
        <w:fldChar w:fldCharType="separate"/>
      </w:r>
      <w:r w:rsidRPr="00F37F7B">
        <w:rPr>
          <w:b/>
          <w:bCs/>
          <w:noProof/>
        </w:rPr>
        <w:t>5</w:t>
      </w:r>
      <w:r w:rsidRPr="00F37F7B">
        <w:rPr>
          <w:b/>
          <w:bCs/>
        </w:rPr>
        <w:fldChar w:fldCharType="end"/>
      </w:r>
      <w:r w:rsidRPr="00F37F7B">
        <w:rPr>
          <w:b/>
          <w:bCs/>
        </w:rPr>
        <w:t>:</w:t>
      </w:r>
      <w:r>
        <w:t xml:space="preserve"> Focus Group 1 (CALD </w:t>
      </w:r>
      <w:r w:rsidR="007412DB">
        <w:t>–</w:t>
      </w:r>
      <w:r>
        <w:t xml:space="preserve"> Regional</w:t>
      </w:r>
      <w:r w:rsidR="007412DB">
        <w:t xml:space="preserve"> </w:t>
      </w:r>
      <w:r>
        <w:t>-remote)</w:t>
      </w:r>
    </w:p>
    <w:tbl>
      <w:tblPr>
        <w:tblStyle w:val="GridTable4-Accent1"/>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Caption w:val="Table 5: Focus Group one (CALD - Regional-Remote)"/>
        <w:tblDescription w:val="Table showing focus group one cohort composition by State/territory, Organisation focus, Organisation size and Expertise in FDV."/>
      </w:tblPr>
      <w:tblGrid>
        <w:gridCol w:w="2338"/>
        <w:gridCol w:w="2338"/>
        <w:gridCol w:w="2339"/>
        <w:gridCol w:w="2339"/>
      </w:tblGrid>
      <w:tr w:rsidR="000835D9" w14:paraId="45912658" w14:textId="77777777" w:rsidTr="001960B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6349E956" w14:textId="6DEB20D7" w:rsidR="000835D9" w:rsidRPr="000835D9" w:rsidRDefault="000835D9" w:rsidP="000835D9">
            <w:pPr>
              <w:spacing w:after="0" w:line="240" w:lineRule="auto"/>
              <w:rPr>
                <w:color w:val="FFFFFF" w:themeColor="background1"/>
              </w:rPr>
            </w:pPr>
            <w:r w:rsidRPr="000835D9">
              <w:rPr>
                <w:color w:val="FFFFFF" w:themeColor="background1"/>
              </w:rPr>
              <w:t>State/territory</w:t>
            </w:r>
          </w:p>
        </w:tc>
        <w:tc>
          <w:tcPr>
            <w:tcW w:w="2338"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25896B13" w14:textId="34765CCD" w:rsidR="000835D9" w:rsidRPr="000835D9" w:rsidRDefault="000835D9" w:rsidP="000835D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Organisation focus</w:t>
            </w:r>
          </w:p>
        </w:tc>
        <w:tc>
          <w:tcPr>
            <w:tcW w:w="2339"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23DD81C9" w14:textId="0FE29416" w:rsidR="000835D9" w:rsidRPr="000835D9" w:rsidRDefault="000835D9" w:rsidP="000835D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Organisation size</w:t>
            </w:r>
          </w:p>
        </w:tc>
        <w:tc>
          <w:tcPr>
            <w:tcW w:w="2339"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03C8B33F" w14:textId="78658871" w:rsidR="000835D9" w:rsidRPr="000835D9" w:rsidRDefault="000835D9" w:rsidP="000835D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Expertise in FDV</w:t>
            </w:r>
          </w:p>
        </w:tc>
      </w:tr>
      <w:tr w:rsidR="000835D9" w14:paraId="040EC33F"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6C78C91F" w14:textId="7B3D4B97" w:rsidR="000835D9" w:rsidRDefault="000835D9" w:rsidP="000835D9">
            <w:pPr>
              <w:spacing w:after="0" w:line="240" w:lineRule="auto"/>
            </w:pPr>
            <w:r>
              <w:t>NT</w:t>
            </w:r>
          </w:p>
        </w:tc>
        <w:tc>
          <w:tcPr>
            <w:tcW w:w="2338" w:type="dxa"/>
            <w:vAlign w:val="center"/>
          </w:tcPr>
          <w:p w14:paraId="70C88B37" w14:textId="77251E88" w:rsidR="000835D9" w:rsidRDefault="000835D9" w:rsidP="000835D9">
            <w:pPr>
              <w:spacing w:after="0" w:line="240" w:lineRule="auto"/>
              <w:cnfStyle w:val="000000100000" w:firstRow="0" w:lastRow="0" w:firstColumn="0" w:lastColumn="0" w:oddVBand="0" w:evenVBand="0" w:oddHBand="1" w:evenHBand="0" w:firstRowFirstColumn="0" w:firstRowLastColumn="0" w:lastRowFirstColumn="0" w:lastRowLastColumn="0"/>
            </w:pPr>
            <w:r>
              <w:t>Service delivery &amp; advocacy</w:t>
            </w:r>
          </w:p>
        </w:tc>
        <w:tc>
          <w:tcPr>
            <w:tcW w:w="2339" w:type="dxa"/>
            <w:vAlign w:val="center"/>
          </w:tcPr>
          <w:p w14:paraId="5891BED4" w14:textId="0F5EB2AA" w:rsidR="000835D9" w:rsidRDefault="000835D9" w:rsidP="000835D9">
            <w:pPr>
              <w:spacing w:after="0" w:line="240" w:lineRule="auto"/>
              <w:cnfStyle w:val="000000100000" w:firstRow="0" w:lastRow="0" w:firstColumn="0" w:lastColumn="0" w:oddVBand="0" w:evenVBand="0" w:oddHBand="1" w:evenHBand="0" w:firstRowFirstColumn="0" w:firstRowLastColumn="0" w:lastRowFirstColumn="0" w:lastRowLastColumn="0"/>
            </w:pPr>
            <w:r>
              <w:t>Small</w:t>
            </w:r>
          </w:p>
        </w:tc>
        <w:tc>
          <w:tcPr>
            <w:tcW w:w="2339" w:type="dxa"/>
            <w:vAlign w:val="center"/>
          </w:tcPr>
          <w:p w14:paraId="6A52C2F9" w14:textId="42EB25C9" w:rsidR="000835D9" w:rsidRDefault="000835D9" w:rsidP="000835D9">
            <w:pPr>
              <w:spacing w:after="0" w:line="240" w:lineRule="auto"/>
              <w:cnfStyle w:val="000000100000" w:firstRow="0" w:lastRow="0" w:firstColumn="0" w:lastColumn="0" w:oddVBand="0" w:evenVBand="0" w:oddHBand="1" w:evenHBand="0" w:firstRowFirstColumn="0" w:firstRowLastColumn="0" w:lastRowFirstColumn="0" w:lastRowLastColumn="0"/>
            </w:pPr>
            <w:r>
              <w:t>Yes</w:t>
            </w:r>
          </w:p>
        </w:tc>
      </w:tr>
      <w:tr w:rsidR="000835D9" w14:paraId="2433CFBA" w14:textId="77777777" w:rsidTr="001960B6">
        <w:trPr>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4564F3DF" w14:textId="7989CB73" w:rsidR="000835D9" w:rsidRDefault="000835D9" w:rsidP="000835D9">
            <w:pPr>
              <w:spacing w:after="0" w:line="240" w:lineRule="auto"/>
            </w:pPr>
            <w:r>
              <w:t>QLD</w:t>
            </w:r>
          </w:p>
        </w:tc>
        <w:tc>
          <w:tcPr>
            <w:tcW w:w="2338" w:type="dxa"/>
            <w:vAlign w:val="center"/>
          </w:tcPr>
          <w:p w14:paraId="4CEC7D64" w14:textId="6611321A" w:rsidR="000835D9" w:rsidRDefault="000835D9" w:rsidP="000835D9">
            <w:pPr>
              <w:spacing w:after="0" w:line="240" w:lineRule="auto"/>
              <w:cnfStyle w:val="000000000000" w:firstRow="0" w:lastRow="0" w:firstColumn="0" w:lastColumn="0" w:oddVBand="0" w:evenVBand="0" w:oddHBand="0" w:evenHBand="0" w:firstRowFirstColumn="0" w:firstRowLastColumn="0" w:lastRowFirstColumn="0" w:lastRowLastColumn="0"/>
            </w:pPr>
            <w:r>
              <w:t>Service delivery</w:t>
            </w:r>
          </w:p>
        </w:tc>
        <w:tc>
          <w:tcPr>
            <w:tcW w:w="2339" w:type="dxa"/>
            <w:vAlign w:val="center"/>
          </w:tcPr>
          <w:p w14:paraId="279334D4" w14:textId="3EF8EEC3" w:rsidR="000835D9" w:rsidRDefault="000835D9" w:rsidP="000835D9">
            <w:pPr>
              <w:spacing w:after="0" w:line="240" w:lineRule="auto"/>
              <w:cnfStyle w:val="000000000000" w:firstRow="0" w:lastRow="0" w:firstColumn="0" w:lastColumn="0" w:oddVBand="0" w:evenVBand="0" w:oddHBand="0" w:evenHBand="0" w:firstRowFirstColumn="0" w:firstRowLastColumn="0" w:lastRowFirstColumn="0" w:lastRowLastColumn="0"/>
            </w:pPr>
            <w:r>
              <w:t>Small</w:t>
            </w:r>
          </w:p>
        </w:tc>
        <w:tc>
          <w:tcPr>
            <w:tcW w:w="2339" w:type="dxa"/>
            <w:vAlign w:val="center"/>
          </w:tcPr>
          <w:p w14:paraId="555E7824" w14:textId="52155554" w:rsidR="000835D9" w:rsidRDefault="000835D9" w:rsidP="000835D9">
            <w:pPr>
              <w:spacing w:after="0" w:line="240" w:lineRule="auto"/>
              <w:cnfStyle w:val="000000000000" w:firstRow="0" w:lastRow="0" w:firstColumn="0" w:lastColumn="0" w:oddVBand="0" w:evenVBand="0" w:oddHBand="0" w:evenHBand="0" w:firstRowFirstColumn="0" w:firstRowLastColumn="0" w:lastRowFirstColumn="0" w:lastRowLastColumn="0"/>
            </w:pPr>
            <w:r>
              <w:t>Yes</w:t>
            </w:r>
          </w:p>
        </w:tc>
      </w:tr>
      <w:tr w:rsidR="000835D9" w14:paraId="79D5D36F"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72B4D375" w14:textId="364EF4B0" w:rsidR="000835D9" w:rsidRDefault="000835D9" w:rsidP="000835D9">
            <w:pPr>
              <w:spacing w:after="0" w:line="240" w:lineRule="auto"/>
            </w:pPr>
            <w:r>
              <w:t>VIC</w:t>
            </w:r>
          </w:p>
        </w:tc>
        <w:tc>
          <w:tcPr>
            <w:tcW w:w="2338" w:type="dxa"/>
            <w:vAlign w:val="center"/>
          </w:tcPr>
          <w:p w14:paraId="1E2114E2" w14:textId="3CBC0276" w:rsidR="000835D9" w:rsidRDefault="000835D9" w:rsidP="000835D9">
            <w:pPr>
              <w:spacing w:after="0" w:line="240" w:lineRule="auto"/>
              <w:cnfStyle w:val="000000100000" w:firstRow="0" w:lastRow="0" w:firstColumn="0" w:lastColumn="0" w:oddVBand="0" w:evenVBand="0" w:oddHBand="1" w:evenHBand="0" w:firstRowFirstColumn="0" w:firstRowLastColumn="0" w:lastRowFirstColumn="0" w:lastRowLastColumn="0"/>
            </w:pPr>
            <w:r>
              <w:t>Advocacy</w:t>
            </w:r>
          </w:p>
        </w:tc>
        <w:tc>
          <w:tcPr>
            <w:tcW w:w="2339" w:type="dxa"/>
            <w:vAlign w:val="center"/>
          </w:tcPr>
          <w:p w14:paraId="762AF2CC" w14:textId="6EEC81DC" w:rsidR="000835D9" w:rsidRDefault="000835D9" w:rsidP="000835D9">
            <w:pPr>
              <w:spacing w:after="0" w:line="240" w:lineRule="auto"/>
              <w:cnfStyle w:val="000000100000" w:firstRow="0" w:lastRow="0" w:firstColumn="0" w:lastColumn="0" w:oddVBand="0" w:evenVBand="0" w:oddHBand="1" w:evenHBand="0" w:firstRowFirstColumn="0" w:firstRowLastColumn="0" w:lastRowFirstColumn="0" w:lastRowLastColumn="0"/>
            </w:pPr>
            <w:r>
              <w:t>Medium</w:t>
            </w:r>
          </w:p>
        </w:tc>
        <w:tc>
          <w:tcPr>
            <w:tcW w:w="2339" w:type="dxa"/>
            <w:vAlign w:val="center"/>
          </w:tcPr>
          <w:p w14:paraId="68B16E00" w14:textId="17775208" w:rsidR="000835D9" w:rsidRDefault="000835D9" w:rsidP="000835D9">
            <w:pPr>
              <w:spacing w:after="0" w:line="240" w:lineRule="auto"/>
              <w:cnfStyle w:val="000000100000" w:firstRow="0" w:lastRow="0" w:firstColumn="0" w:lastColumn="0" w:oddVBand="0" w:evenVBand="0" w:oddHBand="1" w:evenHBand="0" w:firstRowFirstColumn="0" w:firstRowLastColumn="0" w:lastRowFirstColumn="0" w:lastRowLastColumn="0"/>
            </w:pPr>
            <w:r>
              <w:t>Yes</w:t>
            </w:r>
          </w:p>
        </w:tc>
      </w:tr>
      <w:tr w:rsidR="000835D9" w14:paraId="45EB8568" w14:textId="77777777" w:rsidTr="001960B6">
        <w:trPr>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6C2A5512" w14:textId="0E0DCBCC" w:rsidR="000835D9" w:rsidRDefault="000835D9" w:rsidP="000835D9">
            <w:pPr>
              <w:spacing w:after="0" w:line="240" w:lineRule="auto"/>
            </w:pPr>
            <w:r>
              <w:t>NSW</w:t>
            </w:r>
          </w:p>
        </w:tc>
        <w:tc>
          <w:tcPr>
            <w:tcW w:w="2338" w:type="dxa"/>
            <w:vAlign w:val="center"/>
          </w:tcPr>
          <w:p w14:paraId="2F0E965D" w14:textId="13B73BBE" w:rsidR="000835D9" w:rsidRDefault="000835D9" w:rsidP="000835D9">
            <w:pPr>
              <w:spacing w:after="0" w:line="240" w:lineRule="auto"/>
              <w:cnfStyle w:val="000000000000" w:firstRow="0" w:lastRow="0" w:firstColumn="0" w:lastColumn="0" w:oddVBand="0" w:evenVBand="0" w:oddHBand="0" w:evenHBand="0" w:firstRowFirstColumn="0" w:firstRowLastColumn="0" w:lastRowFirstColumn="0" w:lastRowLastColumn="0"/>
            </w:pPr>
            <w:r>
              <w:t>Advocacy</w:t>
            </w:r>
          </w:p>
        </w:tc>
        <w:tc>
          <w:tcPr>
            <w:tcW w:w="2339" w:type="dxa"/>
            <w:vAlign w:val="center"/>
          </w:tcPr>
          <w:p w14:paraId="5DAB4D2B" w14:textId="023EB8A8" w:rsidR="000835D9" w:rsidRDefault="000835D9" w:rsidP="000835D9">
            <w:pPr>
              <w:spacing w:after="0" w:line="240" w:lineRule="auto"/>
              <w:cnfStyle w:val="000000000000" w:firstRow="0" w:lastRow="0" w:firstColumn="0" w:lastColumn="0" w:oddVBand="0" w:evenVBand="0" w:oddHBand="0" w:evenHBand="0" w:firstRowFirstColumn="0" w:firstRowLastColumn="0" w:lastRowFirstColumn="0" w:lastRowLastColumn="0"/>
            </w:pPr>
            <w:r>
              <w:t>Medium</w:t>
            </w:r>
          </w:p>
        </w:tc>
        <w:tc>
          <w:tcPr>
            <w:tcW w:w="2339" w:type="dxa"/>
            <w:vAlign w:val="center"/>
          </w:tcPr>
          <w:p w14:paraId="0FBC4D3B" w14:textId="5792C091" w:rsidR="000835D9" w:rsidRDefault="000835D9" w:rsidP="000835D9">
            <w:pPr>
              <w:spacing w:after="0" w:line="240" w:lineRule="auto"/>
              <w:cnfStyle w:val="000000000000" w:firstRow="0" w:lastRow="0" w:firstColumn="0" w:lastColumn="0" w:oddVBand="0" w:evenVBand="0" w:oddHBand="0" w:evenHBand="0" w:firstRowFirstColumn="0" w:firstRowLastColumn="0" w:lastRowFirstColumn="0" w:lastRowLastColumn="0"/>
            </w:pPr>
            <w:r>
              <w:t>No</w:t>
            </w:r>
          </w:p>
        </w:tc>
      </w:tr>
      <w:tr w:rsidR="000835D9" w14:paraId="6B73CF1B"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74E5D3BA" w14:textId="42500C01" w:rsidR="000835D9" w:rsidRDefault="000835D9" w:rsidP="000835D9">
            <w:pPr>
              <w:spacing w:after="0" w:line="240" w:lineRule="auto"/>
            </w:pPr>
            <w:r>
              <w:t>QLD</w:t>
            </w:r>
          </w:p>
        </w:tc>
        <w:tc>
          <w:tcPr>
            <w:tcW w:w="2338" w:type="dxa"/>
            <w:vAlign w:val="center"/>
          </w:tcPr>
          <w:p w14:paraId="2FF88D4B" w14:textId="777B9773" w:rsidR="000835D9" w:rsidRDefault="000835D9" w:rsidP="000835D9">
            <w:pPr>
              <w:spacing w:after="0" w:line="240" w:lineRule="auto"/>
              <w:cnfStyle w:val="000000100000" w:firstRow="0" w:lastRow="0" w:firstColumn="0" w:lastColumn="0" w:oddVBand="0" w:evenVBand="0" w:oddHBand="1" w:evenHBand="0" w:firstRowFirstColumn="0" w:firstRowLastColumn="0" w:lastRowFirstColumn="0" w:lastRowLastColumn="0"/>
            </w:pPr>
            <w:r>
              <w:t>Service delivery</w:t>
            </w:r>
          </w:p>
        </w:tc>
        <w:tc>
          <w:tcPr>
            <w:tcW w:w="2339" w:type="dxa"/>
            <w:vAlign w:val="center"/>
          </w:tcPr>
          <w:p w14:paraId="6D514059" w14:textId="3B3EAF84" w:rsidR="000835D9" w:rsidRDefault="000835D9" w:rsidP="000835D9">
            <w:pPr>
              <w:spacing w:after="0" w:line="240" w:lineRule="auto"/>
              <w:cnfStyle w:val="000000100000" w:firstRow="0" w:lastRow="0" w:firstColumn="0" w:lastColumn="0" w:oddVBand="0" w:evenVBand="0" w:oddHBand="1" w:evenHBand="0" w:firstRowFirstColumn="0" w:firstRowLastColumn="0" w:lastRowFirstColumn="0" w:lastRowLastColumn="0"/>
            </w:pPr>
            <w:r>
              <w:t>Small</w:t>
            </w:r>
          </w:p>
        </w:tc>
        <w:tc>
          <w:tcPr>
            <w:tcW w:w="2339" w:type="dxa"/>
            <w:vAlign w:val="center"/>
          </w:tcPr>
          <w:p w14:paraId="611E88D2" w14:textId="33F25557" w:rsidR="000835D9" w:rsidRDefault="000835D9" w:rsidP="000835D9">
            <w:pPr>
              <w:spacing w:after="0" w:line="240" w:lineRule="auto"/>
              <w:cnfStyle w:val="000000100000" w:firstRow="0" w:lastRow="0" w:firstColumn="0" w:lastColumn="0" w:oddVBand="0" w:evenVBand="0" w:oddHBand="1" w:evenHBand="0" w:firstRowFirstColumn="0" w:firstRowLastColumn="0" w:lastRowFirstColumn="0" w:lastRowLastColumn="0"/>
            </w:pPr>
            <w:r>
              <w:t>Yes</w:t>
            </w:r>
          </w:p>
        </w:tc>
      </w:tr>
      <w:tr w:rsidR="000835D9" w14:paraId="05B673E8" w14:textId="77777777" w:rsidTr="001960B6">
        <w:trPr>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6776AF5B" w14:textId="13E9535D" w:rsidR="000835D9" w:rsidRDefault="000835D9" w:rsidP="000835D9">
            <w:pPr>
              <w:spacing w:after="0" w:line="240" w:lineRule="auto"/>
            </w:pPr>
            <w:r>
              <w:t>VIC</w:t>
            </w:r>
          </w:p>
        </w:tc>
        <w:tc>
          <w:tcPr>
            <w:tcW w:w="2338" w:type="dxa"/>
            <w:vAlign w:val="center"/>
          </w:tcPr>
          <w:p w14:paraId="4F3230B7" w14:textId="5B6E1627" w:rsidR="000835D9" w:rsidRDefault="000835D9" w:rsidP="000835D9">
            <w:pPr>
              <w:spacing w:after="0" w:line="240" w:lineRule="auto"/>
              <w:cnfStyle w:val="000000000000" w:firstRow="0" w:lastRow="0" w:firstColumn="0" w:lastColumn="0" w:oddVBand="0" w:evenVBand="0" w:oddHBand="0" w:evenHBand="0" w:firstRowFirstColumn="0" w:firstRowLastColumn="0" w:lastRowFirstColumn="0" w:lastRowLastColumn="0"/>
            </w:pPr>
            <w:r>
              <w:t>Advocacy</w:t>
            </w:r>
          </w:p>
        </w:tc>
        <w:tc>
          <w:tcPr>
            <w:tcW w:w="2339" w:type="dxa"/>
            <w:vAlign w:val="center"/>
          </w:tcPr>
          <w:p w14:paraId="5383C395" w14:textId="6EE0346B" w:rsidR="000835D9" w:rsidRDefault="000835D9" w:rsidP="000835D9">
            <w:pPr>
              <w:spacing w:after="0" w:line="240" w:lineRule="auto"/>
              <w:cnfStyle w:val="000000000000" w:firstRow="0" w:lastRow="0" w:firstColumn="0" w:lastColumn="0" w:oddVBand="0" w:evenVBand="0" w:oddHBand="0" w:evenHBand="0" w:firstRowFirstColumn="0" w:firstRowLastColumn="0" w:lastRowFirstColumn="0" w:lastRowLastColumn="0"/>
            </w:pPr>
            <w:r>
              <w:t>Medium</w:t>
            </w:r>
          </w:p>
        </w:tc>
        <w:tc>
          <w:tcPr>
            <w:tcW w:w="2339" w:type="dxa"/>
            <w:vAlign w:val="center"/>
          </w:tcPr>
          <w:p w14:paraId="00F30293" w14:textId="72C0BC33" w:rsidR="000835D9" w:rsidRDefault="000835D9" w:rsidP="000835D9">
            <w:pPr>
              <w:spacing w:after="0" w:line="240" w:lineRule="auto"/>
              <w:cnfStyle w:val="000000000000" w:firstRow="0" w:lastRow="0" w:firstColumn="0" w:lastColumn="0" w:oddVBand="0" w:evenVBand="0" w:oddHBand="0" w:evenHBand="0" w:firstRowFirstColumn="0" w:firstRowLastColumn="0" w:lastRowFirstColumn="0" w:lastRowLastColumn="0"/>
            </w:pPr>
            <w:r>
              <w:t>Yes</w:t>
            </w:r>
          </w:p>
        </w:tc>
      </w:tr>
    </w:tbl>
    <w:p w14:paraId="243E7790" w14:textId="77777777" w:rsidR="000835D9" w:rsidRDefault="000835D9" w:rsidP="000835D9"/>
    <w:p w14:paraId="242629C5" w14:textId="7D2EECFD" w:rsidR="00F37F7B" w:rsidRDefault="00F37F7B" w:rsidP="001960B6">
      <w:pPr>
        <w:pStyle w:val="Caption"/>
        <w:keepNext/>
        <w:spacing w:line="240" w:lineRule="auto"/>
      </w:pPr>
      <w:r w:rsidRPr="00F37F7B">
        <w:rPr>
          <w:b/>
          <w:bCs/>
        </w:rPr>
        <w:t xml:space="preserve">Table </w:t>
      </w:r>
      <w:r>
        <w:rPr>
          <w:b/>
          <w:bCs/>
        </w:rPr>
        <w:t>6</w:t>
      </w:r>
      <w:r w:rsidRPr="00F37F7B">
        <w:rPr>
          <w:b/>
          <w:bCs/>
        </w:rPr>
        <w:t>:</w:t>
      </w:r>
      <w:r>
        <w:t xml:space="preserve"> Focus Group 2 (CALD - Urban)</w:t>
      </w:r>
    </w:p>
    <w:tbl>
      <w:tblPr>
        <w:tblStyle w:val="GridTable4-Accent1"/>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Caption w:val="Table 6: Focus Group two (CALD - Urban)"/>
        <w:tblDescription w:val="Table showing focus group two cohort composition by State/territory, Organisation focus, Organisation size and Expertise in FDV."/>
      </w:tblPr>
      <w:tblGrid>
        <w:gridCol w:w="2338"/>
        <w:gridCol w:w="2338"/>
        <w:gridCol w:w="2339"/>
        <w:gridCol w:w="2339"/>
      </w:tblGrid>
      <w:tr w:rsidR="00F37F7B" w14:paraId="191BD9FA" w14:textId="77777777" w:rsidTr="001960B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671D302C" w14:textId="77777777" w:rsidR="00F37F7B" w:rsidRPr="000835D9" w:rsidRDefault="00F37F7B" w:rsidP="00956469">
            <w:pPr>
              <w:spacing w:after="0" w:line="240" w:lineRule="auto"/>
              <w:rPr>
                <w:color w:val="FFFFFF" w:themeColor="background1"/>
              </w:rPr>
            </w:pPr>
            <w:r w:rsidRPr="000835D9">
              <w:rPr>
                <w:color w:val="FFFFFF" w:themeColor="background1"/>
              </w:rPr>
              <w:t>State/territory</w:t>
            </w:r>
          </w:p>
        </w:tc>
        <w:tc>
          <w:tcPr>
            <w:tcW w:w="2338"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65CDFE5E" w14:textId="77777777" w:rsidR="00F37F7B" w:rsidRPr="000835D9" w:rsidRDefault="00F37F7B" w:rsidP="0095646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Organisation focus</w:t>
            </w:r>
          </w:p>
        </w:tc>
        <w:tc>
          <w:tcPr>
            <w:tcW w:w="2339"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2AA45C0D" w14:textId="77777777" w:rsidR="00F37F7B" w:rsidRPr="000835D9" w:rsidRDefault="00F37F7B" w:rsidP="0095646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Organisation size</w:t>
            </w:r>
          </w:p>
        </w:tc>
        <w:tc>
          <w:tcPr>
            <w:tcW w:w="2339"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7E6C3AE2" w14:textId="77777777" w:rsidR="00F37F7B" w:rsidRPr="000835D9" w:rsidRDefault="00F37F7B" w:rsidP="0095646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Expertise in FDV</w:t>
            </w:r>
          </w:p>
        </w:tc>
      </w:tr>
      <w:tr w:rsidR="00F37F7B" w14:paraId="034DAA78"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5C86189F" w14:textId="30F604F3" w:rsidR="00F37F7B" w:rsidRDefault="00F37F7B" w:rsidP="00F37F7B">
            <w:pPr>
              <w:spacing w:after="0" w:line="240" w:lineRule="auto"/>
            </w:pPr>
            <w:r>
              <w:t>ACT</w:t>
            </w:r>
          </w:p>
        </w:tc>
        <w:tc>
          <w:tcPr>
            <w:tcW w:w="2338" w:type="dxa"/>
            <w:vAlign w:val="center"/>
          </w:tcPr>
          <w:p w14:paraId="1F6B6C92" w14:textId="5D91865B" w:rsidR="00F37F7B" w:rsidRDefault="00F37F7B" w:rsidP="00F37F7B">
            <w:pPr>
              <w:spacing w:after="0" w:line="240" w:lineRule="auto"/>
              <w:cnfStyle w:val="000000100000" w:firstRow="0" w:lastRow="0" w:firstColumn="0" w:lastColumn="0" w:oddVBand="0" w:evenVBand="0" w:oddHBand="1" w:evenHBand="0" w:firstRowFirstColumn="0" w:firstRowLastColumn="0" w:lastRowFirstColumn="0" w:lastRowLastColumn="0"/>
            </w:pPr>
            <w:r>
              <w:t>Service delivery</w:t>
            </w:r>
          </w:p>
        </w:tc>
        <w:tc>
          <w:tcPr>
            <w:tcW w:w="2339" w:type="dxa"/>
            <w:vAlign w:val="center"/>
          </w:tcPr>
          <w:p w14:paraId="7730EA96" w14:textId="2145B945" w:rsidR="00F37F7B" w:rsidRDefault="00F37F7B" w:rsidP="00F37F7B">
            <w:pPr>
              <w:spacing w:after="0" w:line="240" w:lineRule="auto"/>
              <w:cnfStyle w:val="000000100000" w:firstRow="0" w:lastRow="0" w:firstColumn="0" w:lastColumn="0" w:oddVBand="0" w:evenVBand="0" w:oddHBand="1" w:evenHBand="0" w:firstRowFirstColumn="0" w:firstRowLastColumn="0" w:lastRowFirstColumn="0" w:lastRowLastColumn="0"/>
            </w:pPr>
            <w:r>
              <w:t>Small</w:t>
            </w:r>
          </w:p>
        </w:tc>
        <w:tc>
          <w:tcPr>
            <w:tcW w:w="2339" w:type="dxa"/>
            <w:vAlign w:val="center"/>
          </w:tcPr>
          <w:p w14:paraId="2AA47C9F" w14:textId="4BBA919C" w:rsidR="00F37F7B" w:rsidRDefault="00F37F7B" w:rsidP="00F37F7B">
            <w:pPr>
              <w:spacing w:after="0" w:line="240" w:lineRule="auto"/>
              <w:cnfStyle w:val="000000100000" w:firstRow="0" w:lastRow="0" w:firstColumn="0" w:lastColumn="0" w:oddVBand="0" w:evenVBand="0" w:oddHBand="1" w:evenHBand="0" w:firstRowFirstColumn="0" w:firstRowLastColumn="0" w:lastRowFirstColumn="0" w:lastRowLastColumn="0"/>
            </w:pPr>
            <w:r>
              <w:t>Yes</w:t>
            </w:r>
          </w:p>
        </w:tc>
      </w:tr>
      <w:tr w:rsidR="00F37F7B" w14:paraId="5F0A11E8" w14:textId="77777777" w:rsidTr="001960B6">
        <w:trPr>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559174BD" w14:textId="56C52FC1" w:rsidR="00F37F7B" w:rsidRDefault="00F37F7B" w:rsidP="00F37F7B">
            <w:pPr>
              <w:spacing w:after="0" w:line="240" w:lineRule="auto"/>
            </w:pPr>
            <w:r>
              <w:t>WA</w:t>
            </w:r>
          </w:p>
        </w:tc>
        <w:tc>
          <w:tcPr>
            <w:tcW w:w="2338" w:type="dxa"/>
            <w:vAlign w:val="center"/>
          </w:tcPr>
          <w:p w14:paraId="48386AE0" w14:textId="43B427BC" w:rsidR="00F37F7B" w:rsidRDefault="00F37F7B" w:rsidP="00F37F7B">
            <w:pPr>
              <w:spacing w:after="0" w:line="240" w:lineRule="auto"/>
              <w:cnfStyle w:val="000000000000" w:firstRow="0" w:lastRow="0" w:firstColumn="0" w:lastColumn="0" w:oddVBand="0" w:evenVBand="0" w:oddHBand="0" w:evenHBand="0" w:firstRowFirstColumn="0" w:firstRowLastColumn="0" w:lastRowFirstColumn="0" w:lastRowLastColumn="0"/>
            </w:pPr>
            <w:r>
              <w:t>Advocacy</w:t>
            </w:r>
          </w:p>
        </w:tc>
        <w:tc>
          <w:tcPr>
            <w:tcW w:w="2339" w:type="dxa"/>
            <w:vAlign w:val="center"/>
          </w:tcPr>
          <w:p w14:paraId="3768F9A7" w14:textId="0376EDD0" w:rsidR="00F37F7B" w:rsidRDefault="00F37F7B" w:rsidP="00F37F7B">
            <w:pPr>
              <w:spacing w:after="0" w:line="240" w:lineRule="auto"/>
              <w:cnfStyle w:val="000000000000" w:firstRow="0" w:lastRow="0" w:firstColumn="0" w:lastColumn="0" w:oddVBand="0" w:evenVBand="0" w:oddHBand="0" w:evenHBand="0" w:firstRowFirstColumn="0" w:firstRowLastColumn="0" w:lastRowFirstColumn="0" w:lastRowLastColumn="0"/>
            </w:pPr>
            <w:r>
              <w:t>Small</w:t>
            </w:r>
          </w:p>
        </w:tc>
        <w:tc>
          <w:tcPr>
            <w:tcW w:w="2339" w:type="dxa"/>
            <w:vAlign w:val="center"/>
          </w:tcPr>
          <w:p w14:paraId="513E532F" w14:textId="3A8B0876" w:rsidR="00F37F7B" w:rsidRDefault="00F37F7B" w:rsidP="00F37F7B">
            <w:pPr>
              <w:spacing w:after="0" w:line="240" w:lineRule="auto"/>
              <w:cnfStyle w:val="000000000000" w:firstRow="0" w:lastRow="0" w:firstColumn="0" w:lastColumn="0" w:oddVBand="0" w:evenVBand="0" w:oddHBand="0" w:evenHBand="0" w:firstRowFirstColumn="0" w:firstRowLastColumn="0" w:lastRowFirstColumn="0" w:lastRowLastColumn="0"/>
            </w:pPr>
            <w:r>
              <w:t>Yes</w:t>
            </w:r>
          </w:p>
        </w:tc>
      </w:tr>
      <w:tr w:rsidR="00F37F7B" w14:paraId="5D69BD27"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205DD756" w14:textId="753756BF" w:rsidR="00F37F7B" w:rsidRDefault="00F37F7B" w:rsidP="00F37F7B">
            <w:pPr>
              <w:spacing w:after="0" w:line="240" w:lineRule="auto"/>
            </w:pPr>
            <w:r>
              <w:t>VIC</w:t>
            </w:r>
          </w:p>
        </w:tc>
        <w:tc>
          <w:tcPr>
            <w:tcW w:w="2338" w:type="dxa"/>
            <w:vAlign w:val="center"/>
          </w:tcPr>
          <w:p w14:paraId="4B1AC0DA" w14:textId="529C3791" w:rsidR="00F37F7B" w:rsidRDefault="00F37F7B" w:rsidP="00F37F7B">
            <w:pPr>
              <w:spacing w:after="0" w:line="240" w:lineRule="auto"/>
              <w:cnfStyle w:val="000000100000" w:firstRow="0" w:lastRow="0" w:firstColumn="0" w:lastColumn="0" w:oddVBand="0" w:evenVBand="0" w:oddHBand="1" w:evenHBand="0" w:firstRowFirstColumn="0" w:firstRowLastColumn="0" w:lastRowFirstColumn="0" w:lastRowLastColumn="0"/>
            </w:pPr>
            <w:r>
              <w:t>Service delivery</w:t>
            </w:r>
          </w:p>
        </w:tc>
        <w:tc>
          <w:tcPr>
            <w:tcW w:w="2339" w:type="dxa"/>
            <w:vAlign w:val="center"/>
          </w:tcPr>
          <w:p w14:paraId="5C655764" w14:textId="539CDE62" w:rsidR="00F37F7B" w:rsidRDefault="00F37F7B" w:rsidP="00F37F7B">
            <w:pPr>
              <w:spacing w:after="0" w:line="240" w:lineRule="auto"/>
              <w:cnfStyle w:val="000000100000" w:firstRow="0" w:lastRow="0" w:firstColumn="0" w:lastColumn="0" w:oddVBand="0" w:evenVBand="0" w:oddHBand="1" w:evenHBand="0" w:firstRowFirstColumn="0" w:firstRowLastColumn="0" w:lastRowFirstColumn="0" w:lastRowLastColumn="0"/>
            </w:pPr>
            <w:r>
              <w:t>Large</w:t>
            </w:r>
          </w:p>
        </w:tc>
        <w:tc>
          <w:tcPr>
            <w:tcW w:w="2339" w:type="dxa"/>
            <w:vAlign w:val="center"/>
          </w:tcPr>
          <w:p w14:paraId="36D67C42" w14:textId="122D19AB" w:rsidR="00F37F7B" w:rsidRDefault="00F37F7B" w:rsidP="00F37F7B">
            <w:pPr>
              <w:spacing w:after="0" w:line="240" w:lineRule="auto"/>
              <w:cnfStyle w:val="000000100000" w:firstRow="0" w:lastRow="0" w:firstColumn="0" w:lastColumn="0" w:oddVBand="0" w:evenVBand="0" w:oddHBand="1" w:evenHBand="0" w:firstRowFirstColumn="0" w:firstRowLastColumn="0" w:lastRowFirstColumn="0" w:lastRowLastColumn="0"/>
            </w:pPr>
            <w:r>
              <w:t>Yes</w:t>
            </w:r>
          </w:p>
        </w:tc>
      </w:tr>
      <w:tr w:rsidR="00F37F7B" w14:paraId="7A0D1C4D" w14:textId="77777777" w:rsidTr="001960B6">
        <w:trPr>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3C8A5E74" w14:textId="309F4021" w:rsidR="00F37F7B" w:rsidRDefault="00F37F7B" w:rsidP="00F37F7B">
            <w:pPr>
              <w:spacing w:after="0" w:line="240" w:lineRule="auto"/>
            </w:pPr>
            <w:r>
              <w:t>TAS</w:t>
            </w:r>
          </w:p>
        </w:tc>
        <w:tc>
          <w:tcPr>
            <w:tcW w:w="2338" w:type="dxa"/>
            <w:vAlign w:val="center"/>
          </w:tcPr>
          <w:p w14:paraId="23566774" w14:textId="53D08247" w:rsidR="00F37F7B" w:rsidRDefault="00F37F7B" w:rsidP="00F37F7B">
            <w:pPr>
              <w:spacing w:after="0" w:line="240" w:lineRule="auto"/>
              <w:cnfStyle w:val="000000000000" w:firstRow="0" w:lastRow="0" w:firstColumn="0" w:lastColumn="0" w:oddVBand="0" w:evenVBand="0" w:oddHBand="0" w:evenHBand="0" w:firstRowFirstColumn="0" w:firstRowLastColumn="0" w:lastRowFirstColumn="0" w:lastRowLastColumn="0"/>
            </w:pPr>
            <w:r>
              <w:t>Service delivery</w:t>
            </w:r>
          </w:p>
        </w:tc>
        <w:tc>
          <w:tcPr>
            <w:tcW w:w="2339" w:type="dxa"/>
            <w:vAlign w:val="center"/>
          </w:tcPr>
          <w:p w14:paraId="44CB826A" w14:textId="2561D2BF" w:rsidR="00F37F7B" w:rsidRDefault="00F37F7B" w:rsidP="00F37F7B">
            <w:pPr>
              <w:spacing w:after="0" w:line="240" w:lineRule="auto"/>
              <w:cnfStyle w:val="000000000000" w:firstRow="0" w:lastRow="0" w:firstColumn="0" w:lastColumn="0" w:oddVBand="0" w:evenVBand="0" w:oddHBand="0" w:evenHBand="0" w:firstRowFirstColumn="0" w:firstRowLastColumn="0" w:lastRowFirstColumn="0" w:lastRowLastColumn="0"/>
            </w:pPr>
            <w:r>
              <w:t>Medium</w:t>
            </w:r>
          </w:p>
        </w:tc>
        <w:tc>
          <w:tcPr>
            <w:tcW w:w="2339" w:type="dxa"/>
            <w:vAlign w:val="center"/>
          </w:tcPr>
          <w:p w14:paraId="4E56FBF7" w14:textId="635EBA4D" w:rsidR="00F37F7B" w:rsidRDefault="00F37F7B" w:rsidP="00F37F7B">
            <w:pPr>
              <w:spacing w:after="0" w:line="240" w:lineRule="auto"/>
              <w:cnfStyle w:val="000000000000" w:firstRow="0" w:lastRow="0" w:firstColumn="0" w:lastColumn="0" w:oddVBand="0" w:evenVBand="0" w:oddHBand="0" w:evenHBand="0" w:firstRowFirstColumn="0" w:firstRowLastColumn="0" w:lastRowFirstColumn="0" w:lastRowLastColumn="0"/>
            </w:pPr>
            <w:r>
              <w:t>Yes</w:t>
            </w:r>
          </w:p>
        </w:tc>
      </w:tr>
      <w:tr w:rsidR="00F37F7B" w14:paraId="71CAB285"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6403B38D" w14:textId="108ADE2B" w:rsidR="00F37F7B" w:rsidRDefault="00F37F7B" w:rsidP="00F37F7B">
            <w:pPr>
              <w:spacing w:after="0" w:line="240" w:lineRule="auto"/>
            </w:pPr>
            <w:r>
              <w:t>TAS</w:t>
            </w:r>
          </w:p>
        </w:tc>
        <w:tc>
          <w:tcPr>
            <w:tcW w:w="2338" w:type="dxa"/>
            <w:vAlign w:val="center"/>
          </w:tcPr>
          <w:p w14:paraId="7D0C128B" w14:textId="2E303967" w:rsidR="00F37F7B" w:rsidRDefault="00F37F7B" w:rsidP="00F37F7B">
            <w:pPr>
              <w:spacing w:after="0" w:line="240" w:lineRule="auto"/>
              <w:cnfStyle w:val="000000100000" w:firstRow="0" w:lastRow="0" w:firstColumn="0" w:lastColumn="0" w:oddVBand="0" w:evenVBand="0" w:oddHBand="1" w:evenHBand="0" w:firstRowFirstColumn="0" w:firstRowLastColumn="0" w:lastRowFirstColumn="0" w:lastRowLastColumn="0"/>
            </w:pPr>
            <w:r>
              <w:t>Service delivery</w:t>
            </w:r>
          </w:p>
        </w:tc>
        <w:tc>
          <w:tcPr>
            <w:tcW w:w="2339" w:type="dxa"/>
            <w:vAlign w:val="center"/>
          </w:tcPr>
          <w:p w14:paraId="53305508" w14:textId="5EA15483" w:rsidR="00F37F7B" w:rsidRDefault="00F37F7B" w:rsidP="00F37F7B">
            <w:pPr>
              <w:spacing w:after="0" w:line="240" w:lineRule="auto"/>
              <w:cnfStyle w:val="000000100000" w:firstRow="0" w:lastRow="0" w:firstColumn="0" w:lastColumn="0" w:oddVBand="0" w:evenVBand="0" w:oddHBand="1" w:evenHBand="0" w:firstRowFirstColumn="0" w:firstRowLastColumn="0" w:lastRowFirstColumn="0" w:lastRowLastColumn="0"/>
            </w:pPr>
            <w:r>
              <w:t>Large</w:t>
            </w:r>
          </w:p>
        </w:tc>
        <w:tc>
          <w:tcPr>
            <w:tcW w:w="2339" w:type="dxa"/>
            <w:vAlign w:val="center"/>
          </w:tcPr>
          <w:p w14:paraId="003AFB63" w14:textId="5187E364" w:rsidR="00F37F7B" w:rsidRDefault="00F37F7B" w:rsidP="00F37F7B">
            <w:pPr>
              <w:spacing w:after="0" w:line="240" w:lineRule="auto"/>
              <w:cnfStyle w:val="000000100000" w:firstRow="0" w:lastRow="0" w:firstColumn="0" w:lastColumn="0" w:oddVBand="0" w:evenVBand="0" w:oddHBand="1" w:evenHBand="0" w:firstRowFirstColumn="0" w:firstRowLastColumn="0" w:lastRowFirstColumn="0" w:lastRowLastColumn="0"/>
            </w:pPr>
            <w:r>
              <w:t>Yes</w:t>
            </w:r>
          </w:p>
        </w:tc>
      </w:tr>
      <w:tr w:rsidR="00F37F7B" w14:paraId="41AAE2BD" w14:textId="77777777" w:rsidTr="001960B6">
        <w:trPr>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082F82F2" w14:textId="70F50746" w:rsidR="00F37F7B" w:rsidRDefault="00F37F7B" w:rsidP="00F37F7B">
            <w:pPr>
              <w:spacing w:after="0" w:line="240" w:lineRule="auto"/>
            </w:pPr>
            <w:r>
              <w:t>QLD</w:t>
            </w:r>
          </w:p>
        </w:tc>
        <w:tc>
          <w:tcPr>
            <w:tcW w:w="2338" w:type="dxa"/>
            <w:vAlign w:val="center"/>
          </w:tcPr>
          <w:p w14:paraId="21BF2B8C" w14:textId="080EB63A" w:rsidR="00F37F7B" w:rsidRDefault="00F37F7B" w:rsidP="00F37F7B">
            <w:pPr>
              <w:spacing w:after="0" w:line="240" w:lineRule="auto"/>
              <w:cnfStyle w:val="000000000000" w:firstRow="0" w:lastRow="0" w:firstColumn="0" w:lastColumn="0" w:oddVBand="0" w:evenVBand="0" w:oddHBand="0" w:evenHBand="0" w:firstRowFirstColumn="0" w:firstRowLastColumn="0" w:lastRowFirstColumn="0" w:lastRowLastColumn="0"/>
            </w:pPr>
            <w:r>
              <w:t>Service delivery</w:t>
            </w:r>
          </w:p>
        </w:tc>
        <w:tc>
          <w:tcPr>
            <w:tcW w:w="2339" w:type="dxa"/>
            <w:vAlign w:val="center"/>
          </w:tcPr>
          <w:p w14:paraId="3DF66516" w14:textId="5D2581C2" w:rsidR="00F37F7B" w:rsidRDefault="00F37F7B" w:rsidP="00F37F7B">
            <w:pPr>
              <w:spacing w:after="0" w:line="240" w:lineRule="auto"/>
              <w:cnfStyle w:val="000000000000" w:firstRow="0" w:lastRow="0" w:firstColumn="0" w:lastColumn="0" w:oddVBand="0" w:evenVBand="0" w:oddHBand="0" w:evenHBand="0" w:firstRowFirstColumn="0" w:firstRowLastColumn="0" w:lastRowFirstColumn="0" w:lastRowLastColumn="0"/>
            </w:pPr>
            <w:r>
              <w:t>Medium</w:t>
            </w:r>
          </w:p>
        </w:tc>
        <w:tc>
          <w:tcPr>
            <w:tcW w:w="2339" w:type="dxa"/>
            <w:vAlign w:val="center"/>
          </w:tcPr>
          <w:p w14:paraId="3090E4EB" w14:textId="49E014EC" w:rsidR="00F37F7B" w:rsidRDefault="00F37F7B" w:rsidP="00F37F7B">
            <w:pPr>
              <w:spacing w:after="0" w:line="240" w:lineRule="auto"/>
              <w:cnfStyle w:val="000000000000" w:firstRow="0" w:lastRow="0" w:firstColumn="0" w:lastColumn="0" w:oddVBand="0" w:evenVBand="0" w:oddHBand="0" w:evenHBand="0" w:firstRowFirstColumn="0" w:firstRowLastColumn="0" w:lastRowFirstColumn="0" w:lastRowLastColumn="0"/>
            </w:pPr>
            <w:r>
              <w:t>Yes</w:t>
            </w:r>
          </w:p>
        </w:tc>
      </w:tr>
      <w:tr w:rsidR="00F37F7B" w14:paraId="78E5470B"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4EEA1F35" w14:textId="0324F049" w:rsidR="00F37F7B" w:rsidRDefault="00F37F7B" w:rsidP="00F37F7B">
            <w:pPr>
              <w:spacing w:after="0" w:line="240" w:lineRule="auto"/>
            </w:pPr>
            <w:r>
              <w:t>SA</w:t>
            </w:r>
          </w:p>
        </w:tc>
        <w:tc>
          <w:tcPr>
            <w:tcW w:w="2338" w:type="dxa"/>
            <w:vAlign w:val="center"/>
          </w:tcPr>
          <w:p w14:paraId="06BC1BBC" w14:textId="377194A4" w:rsidR="00F37F7B" w:rsidRDefault="00F37F7B" w:rsidP="00F37F7B">
            <w:pPr>
              <w:spacing w:after="0" w:line="240" w:lineRule="auto"/>
              <w:cnfStyle w:val="000000100000" w:firstRow="0" w:lastRow="0" w:firstColumn="0" w:lastColumn="0" w:oddVBand="0" w:evenVBand="0" w:oddHBand="1" w:evenHBand="0" w:firstRowFirstColumn="0" w:firstRowLastColumn="0" w:lastRowFirstColumn="0" w:lastRowLastColumn="0"/>
            </w:pPr>
            <w:r>
              <w:t>Service delivery</w:t>
            </w:r>
          </w:p>
        </w:tc>
        <w:tc>
          <w:tcPr>
            <w:tcW w:w="2339" w:type="dxa"/>
            <w:vAlign w:val="center"/>
          </w:tcPr>
          <w:p w14:paraId="7980A8DA" w14:textId="02EFE1BF" w:rsidR="00F37F7B" w:rsidRDefault="00F37F7B" w:rsidP="00F37F7B">
            <w:pPr>
              <w:spacing w:after="0" w:line="240" w:lineRule="auto"/>
              <w:cnfStyle w:val="000000100000" w:firstRow="0" w:lastRow="0" w:firstColumn="0" w:lastColumn="0" w:oddVBand="0" w:evenVBand="0" w:oddHBand="1" w:evenHBand="0" w:firstRowFirstColumn="0" w:firstRowLastColumn="0" w:lastRowFirstColumn="0" w:lastRowLastColumn="0"/>
            </w:pPr>
            <w:r>
              <w:t>Medium</w:t>
            </w:r>
          </w:p>
        </w:tc>
        <w:tc>
          <w:tcPr>
            <w:tcW w:w="2339" w:type="dxa"/>
            <w:vAlign w:val="center"/>
          </w:tcPr>
          <w:p w14:paraId="57DA9DD1" w14:textId="348F7668" w:rsidR="00F37F7B" w:rsidRDefault="00F37F7B" w:rsidP="00F37F7B">
            <w:pPr>
              <w:spacing w:after="0" w:line="240" w:lineRule="auto"/>
              <w:cnfStyle w:val="000000100000" w:firstRow="0" w:lastRow="0" w:firstColumn="0" w:lastColumn="0" w:oddVBand="0" w:evenVBand="0" w:oddHBand="1" w:evenHBand="0" w:firstRowFirstColumn="0" w:firstRowLastColumn="0" w:lastRowFirstColumn="0" w:lastRowLastColumn="0"/>
            </w:pPr>
            <w:r>
              <w:t>Yes</w:t>
            </w:r>
          </w:p>
        </w:tc>
      </w:tr>
      <w:tr w:rsidR="00F37F7B" w14:paraId="76485C60" w14:textId="77777777" w:rsidTr="001960B6">
        <w:trPr>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3EFD83A1" w14:textId="3B22CA8E" w:rsidR="00F37F7B" w:rsidRDefault="00F37F7B" w:rsidP="00F37F7B">
            <w:pPr>
              <w:spacing w:after="0" w:line="240" w:lineRule="auto"/>
            </w:pPr>
            <w:r>
              <w:t>NSW</w:t>
            </w:r>
          </w:p>
        </w:tc>
        <w:tc>
          <w:tcPr>
            <w:tcW w:w="2338" w:type="dxa"/>
            <w:vAlign w:val="center"/>
          </w:tcPr>
          <w:p w14:paraId="1EAF9513" w14:textId="1B60374D" w:rsidR="00F37F7B" w:rsidRDefault="00F37F7B" w:rsidP="00F37F7B">
            <w:pPr>
              <w:spacing w:after="0" w:line="240" w:lineRule="auto"/>
              <w:cnfStyle w:val="000000000000" w:firstRow="0" w:lastRow="0" w:firstColumn="0" w:lastColumn="0" w:oddVBand="0" w:evenVBand="0" w:oddHBand="0" w:evenHBand="0" w:firstRowFirstColumn="0" w:firstRowLastColumn="0" w:lastRowFirstColumn="0" w:lastRowLastColumn="0"/>
            </w:pPr>
            <w:r>
              <w:t>Service delivery</w:t>
            </w:r>
          </w:p>
        </w:tc>
        <w:tc>
          <w:tcPr>
            <w:tcW w:w="2339" w:type="dxa"/>
            <w:vAlign w:val="center"/>
          </w:tcPr>
          <w:p w14:paraId="50F6CEB8" w14:textId="47B40FF0" w:rsidR="00F37F7B" w:rsidRDefault="00F37F7B" w:rsidP="00F37F7B">
            <w:pPr>
              <w:spacing w:after="0" w:line="240" w:lineRule="auto"/>
              <w:cnfStyle w:val="000000000000" w:firstRow="0" w:lastRow="0" w:firstColumn="0" w:lastColumn="0" w:oddVBand="0" w:evenVBand="0" w:oddHBand="0" w:evenHBand="0" w:firstRowFirstColumn="0" w:firstRowLastColumn="0" w:lastRowFirstColumn="0" w:lastRowLastColumn="0"/>
            </w:pPr>
            <w:r>
              <w:t>Small</w:t>
            </w:r>
          </w:p>
        </w:tc>
        <w:tc>
          <w:tcPr>
            <w:tcW w:w="2339" w:type="dxa"/>
            <w:vAlign w:val="center"/>
          </w:tcPr>
          <w:p w14:paraId="27655A5D" w14:textId="7EBE30FF" w:rsidR="00F37F7B" w:rsidRDefault="00F37F7B" w:rsidP="00F37F7B">
            <w:pPr>
              <w:spacing w:after="0" w:line="240" w:lineRule="auto"/>
              <w:cnfStyle w:val="000000000000" w:firstRow="0" w:lastRow="0" w:firstColumn="0" w:lastColumn="0" w:oddVBand="0" w:evenVBand="0" w:oddHBand="0" w:evenHBand="0" w:firstRowFirstColumn="0" w:firstRowLastColumn="0" w:lastRowFirstColumn="0" w:lastRowLastColumn="0"/>
            </w:pPr>
            <w:r>
              <w:t>Yes</w:t>
            </w:r>
          </w:p>
        </w:tc>
      </w:tr>
    </w:tbl>
    <w:p w14:paraId="5C076E7A" w14:textId="77777777" w:rsidR="00F37F7B" w:rsidRDefault="00F37F7B" w:rsidP="000835D9"/>
    <w:p w14:paraId="3E9D397B" w14:textId="235A5121" w:rsidR="001960B6" w:rsidRDefault="001960B6" w:rsidP="001960B6">
      <w:pPr>
        <w:pStyle w:val="Caption"/>
        <w:keepNext/>
        <w:spacing w:line="240" w:lineRule="auto"/>
      </w:pPr>
      <w:r w:rsidRPr="00F37F7B">
        <w:rPr>
          <w:b/>
          <w:bCs/>
        </w:rPr>
        <w:t xml:space="preserve">Table </w:t>
      </w:r>
      <w:r>
        <w:rPr>
          <w:b/>
          <w:bCs/>
        </w:rPr>
        <w:t>7</w:t>
      </w:r>
      <w:r w:rsidRPr="00F37F7B">
        <w:rPr>
          <w:b/>
          <w:bCs/>
        </w:rPr>
        <w:t>:</w:t>
      </w:r>
      <w:r>
        <w:t xml:space="preserve"> Focus Group 3 (Disability – Regional-remote)</w:t>
      </w:r>
    </w:p>
    <w:tbl>
      <w:tblPr>
        <w:tblStyle w:val="GridTable4-Accent1"/>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Caption w:val="Table 7: Focus Group three (Disability - Regional-Remote)"/>
        <w:tblDescription w:val="Table showing focus group three cohort composition by State/territory, Organisation focus, Organisation size and Expertise in FDV. "/>
      </w:tblPr>
      <w:tblGrid>
        <w:gridCol w:w="2338"/>
        <w:gridCol w:w="2338"/>
        <w:gridCol w:w="2339"/>
        <w:gridCol w:w="2339"/>
      </w:tblGrid>
      <w:tr w:rsidR="001960B6" w14:paraId="113D9D88" w14:textId="77777777" w:rsidTr="001960B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30B30C6F" w14:textId="77777777" w:rsidR="001960B6" w:rsidRPr="000835D9" w:rsidRDefault="001960B6" w:rsidP="00956469">
            <w:pPr>
              <w:spacing w:after="0" w:line="240" w:lineRule="auto"/>
              <w:rPr>
                <w:color w:val="FFFFFF" w:themeColor="background1"/>
              </w:rPr>
            </w:pPr>
            <w:r w:rsidRPr="000835D9">
              <w:rPr>
                <w:color w:val="FFFFFF" w:themeColor="background1"/>
              </w:rPr>
              <w:t>State/territory</w:t>
            </w:r>
          </w:p>
        </w:tc>
        <w:tc>
          <w:tcPr>
            <w:tcW w:w="2338"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5FF0D59D" w14:textId="77777777" w:rsidR="001960B6" w:rsidRPr="000835D9" w:rsidRDefault="001960B6" w:rsidP="0095646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Organisation focus</w:t>
            </w:r>
          </w:p>
        </w:tc>
        <w:tc>
          <w:tcPr>
            <w:tcW w:w="2339"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353FD954" w14:textId="77777777" w:rsidR="001960B6" w:rsidRPr="000835D9" w:rsidRDefault="001960B6" w:rsidP="0095646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Organisation size</w:t>
            </w:r>
          </w:p>
        </w:tc>
        <w:tc>
          <w:tcPr>
            <w:tcW w:w="2339"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6D813791" w14:textId="77777777" w:rsidR="001960B6" w:rsidRPr="000835D9" w:rsidRDefault="001960B6" w:rsidP="0095646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Expertise in FDV</w:t>
            </w:r>
          </w:p>
        </w:tc>
      </w:tr>
      <w:tr w:rsidR="001960B6" w14:paraId="7B29A1B5"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03D11472" w14:textId="0832E0F3" w:rsidR="001960B6" w:rsidRDefault="001960B6" w:rsidP="001960B6">
            <w:pPr>
              <w:spacing w:after="0" w:line="240" w:lineRule="auto"/>
            </w:pPr>
            <w:r>
              <w:t>National</w:t>
            </w:r>
          </w:p>
        </w:tc>
        <w:tc>
          <w:tcPr>
            <w:tcW w:w="2338" w:type="dxa"/>
            <w:vAlign w:val="center"/>
          </w:tcPr>
          <w:p w14:paraId="070A0912" w14:textId="10A4249A"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Service delivery, Advocacy</w:t>
            </w:r>
          </w:p>
        </w:tc>
        <w:tc>
          <w:tcPr>
            <w:tcW w:w="2339" w:type="dxa"/>
            <w:vAlign w:val="center"/>
          </w:tcPr>
          <w:p w14:paraId="270ABF19" w14:textId="16145811"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Large</w:t>
            </w:r>
          </w:p>
        </w:tc>
        <w:tc>
          <w:tcPr>
            <w:tcW w:w="2339" w:type="dxa"/>
            <w:vAlign w:val="center"/>
          </w:tcPr>
          <w:p w14:paraId="6251E777" w14:textId="183CFBEA"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No</w:t>
            </w:r>
          </w:p>
        </w:tc>
      </w:tr>
      <w:tr w:rsidR="001960B6" w14:paraId="12FF7821" w14:textId="77777777" w:rsidTr="001960B6">
        <w:trPr>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072DA906" w14:textId="63C3FC40" w:rsidR="001960B6" w:rsidRDefault="001960B6" w:rsidP="001960B6">
            <w:pPr>
              <w:spacing w:after="0" w:line="240" w:lineRule="auto"/>
            </w:pPr>
            <w:r>
              <w:t>NSW</w:t>
            </w:r>
          </w:p>
        </w:tc>
        <w:tc>
          <w:tcPr>
            <w:tcW w:w="2338" w:type="dxa"/>
            <w:vAlign w:val="center"/>
          </w:tcPr>
          <w:p w14:paraId="7DB9FFDA" w14:textId="61B034B1"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t>Housing</w:t>
            </w:r>
          </w:p>
        </w:tc>
        <w:tc>
          <w:tcPr>
            <w:tcW w:w="2339" w:type="dxa"/>
            <w:vAlign w:val="center"/>
          </w:tcPr>
          <w:p w14:paraId="639942A2" w14:textId="375F434E"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t>Large</w:t>
            </w:r>
          </w:p>
        </w:tc>
        <w:tc>
          <w:tcPr>
            <w:tcW w:w="2339" w:type="dxa"/>
            <w:vAlign w:val="center"/>
          </w:tcPr>
          <w:p w14:paraId="099E2509" w14:textId="653D4828"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t>No</w:t>
            </w:r>
          </w:p>
        </w:tc>
      </w:tr>
      <w:tr w:rsidR="001960B6" w14:paraId="551808D8"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6DB043C1" w14:textId="55A176B6" w:rsidR="001960B6" w:rsidRDefault="001960B6" w:rsidP="001960B6">
            <w:pPr>
              <w:spacing w:after="0" w:line="240" w:lineRule="auto"/>
            </w:pPr>
            <w:r>
              <w:t>SA</w:t>
            </w:r>
          </w:p>
        </w:tc>
        <w:tc>
          <w:tcPr>
            <w:tcW w:w="2338" w:type="dxa"/>
            <w:vAlign w:val="center"/>
          </w:tcPr>
          <w:p w14:paraId="1E24450B" w14:textId="66264D35"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Service delivery</w:t>
            </w:r>
          </w:p>
        </w:tc>
        <w:tc>
          <w:tcPr>
            <w:tcW w:w="2339" w:type="dxa"/>
            <w:vAlign w:val="center"/>
          </w:tcPr>
          <w:p w14:paraId="7079691F" w14:textId="60D3A301"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Small</w:t>
            </w:r>
          </w:p>
        </w:tc>
        <w:tc>
          <w:tcPr>
            <w:tcW w:w="2339" w:type="dxa"/>
            <w:vAlign w:val="center"/>
          </w:tcPr>
          <w:p w14:paraId="7CC2B7F4" w14:textId="326B359D"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No</w:t>
            </w:r>
          </w:p>
        </w:tc>
      </w:tr>
      <w:tr w:rsidR="001960B6" w14:paraId="68C7EF15" w14:textId="77777777" w:rsidTr="001960B6">
        <w:trPr>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16183464" w14:textId="6684BA36" w:rsidR="001960B6" w:rsidRDefault="001960B6" w:rsidP="001960B6">
            <w:pPr>
              <w:spacing w:after="0" w:line="240" w:lineRule="auto"/>
            </w:pPr>
            <w:r>
              <w:t>SA</w:t>
            </w:r>
          </w:p>
        </w:tc>
        <w:tc>
          <w:tcPr>
            <w:tcW w:w="2338" w:type="dxa"/>
            <w:vAlign w:val="center"/>
          </w:tcPr>
          <w:p w14:paraId="399EA5B6" w14:textId="75D6BC73"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t>Service delivery</w:t>
            </w:r>
          </w:p>
        </w:tc>
        <w:tc>
          <w:tcPr>
            <w:tcW w:w="2339" w:type="dxa"/>
            <w:vAlign w:val="center"/>
          </w:tcPr>
          <w:p w14:paraId="1648189A" w14:textId="40BF8702"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t>Small</w:t>
            </w:r>
          </w:p>
        </w:tc>
        <w:tc>
          <w:tcPr>
            <w:tcW w:w="2339" w:type="dxa"/>
            <w:vAlign w:val="center"/>
          </w:tcPr>
          <w:p w14:paraId="66E48B7C" w14:textId="2285FBFC"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t>No</w:t>
            </w:r>
          </w:p>
        </w:tc>
      </w:tr>
      <w:tr w:rsidR="001960B6" w14:paraId="0AD412BD"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592BED11" w14:textId="4F7AEC01" w:rsidR="001960B6" w:rsidRDefault="001960B6" w:rsidP="001960B6">
            <w:pPr>
              <w:spacing w:after="0" w:line="240" w:lineRule="auto"/>
            </w:pPr>
            <w:r>
              <w:t>National</w:t>
            </w:r>
          </w:p>
        </w:tc>
        <w:tc>
          <w:tcPr>
            <w:tcW w:w="2338" w:type="dxa"/>
            <w:vAlign w:val="center"/>
          </w:tcPr>
          <w:p w14:paraId="0532895C" w14:textId="40C0831C"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Service delivery</w:t>
            </w:r>
          </w:p>
        </w:tc>
        <w:tc>
          <w:tcPr>
            <w:tcW w:w="2339" w:type="dxa"/>
            <w:vAlign w:val="center"/>
          </w:tcPr>
          <w:p w14:paraId="7ECC3C46" w14:textId="59F80992"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 xml:space="preserve">Large </w:t>
            </w:r>
          </w:p>
        </w:tc>
        <w:tc>
          <w:tcPr>
            <w:tcW w:w="2339" w:type="dxa"/>
            <w:vAlign w:val="center"/>
          </w:tcPr>
          <w:p w14:paraId="7C314FEC" w14:textId="45A7B92D"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No</w:t>
            </w:r>
          </w:p>
        </w:tc>
      </w:tr>
      <w:tr w:rsidR="001960B6" w14:paraId="63770050" w14:textId="77777777" w:rsidTr="001960B6">
        <w:trPr>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04DF95D6" w14:textId="16C6BD00" w:rsidR="001960B6" w:rsidRDefault="001960B6" w:rsidP="001960B6">
            <w:pPr>
              <w:spacing w:after="0" w:line="240" w:lineRule="auto"/>
            </w:pPr>
            <w:r>
              <w:t>ACT</w:t>
            </w:r>
          </w:p>
        </w:tc>
        <w:tc>
          <w:tcPr>
            <w:tcW w:w="2338" w:type="dxa"/>
            <w:vAlign w:val="center"/>
          </w:tcPr>
          <w:p w14:paraId="1083D690" w14:textId="2E5D0AD2"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t>Service delivery, housing</w:t>
            </w:r>
          </w:p>
        </w:tc>
        <w:tc>
          <w:tcPr>
            <w:tcW w:w="2339" w:type="dxa"/>
            <w:vAlign w:val="center"/>
          </w:tcPr>
          <w:p w14:paraId="2CCAFF0C" w14:textId="171FB42C"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t>Medium</w:t>
            </w:r>
          </w:p>
        </w:tc>
        <w:tc>
          <w:tcPr>
            <w:tcW w:w="2339" w:type="dxa"/>
            <w:vAlign w:val="center"/>
          </w:tcPr>
          <w:p w14:paraId="02A733B3" w14:textId="67ADDD96"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t>Yes</w:t>
            </w:r>
          </w:p>
        </w:tc>
      </w:tr>
      <w:tr w:rsidR="001960B6" w14:paraId="7D626025"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6753F64C" w14:textId="6FA80893" w:rsidR="001960B6" w:rsidRDefault="001960B6" w:rsidP="001960B6">
            <w:pPr>
              <w:spacing w:after="0" w:line="240" w:lineRule="auto"/>
            </w:pPr>
            <w:r>
              <w:t>SA</w:t>
            </w:r>
          </w:p>
        </w:tc>
        <w:tc>
          <w:tcPr>
            <w:tcW w:w="2338" w:type="dxa"/>
            <w:vAlign w:val="center"/>
          </w:tcPr>
          <w:p w14:paraId="1B1CAE68" w14:textId="1B4ACD39"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Service delivery</w:t>
            </w:r>
          </w:p>
        </w:tc>
        <w:tc>
          <w:tcPr>
            <w:tcW w:w="2339" w:type="dxa"/>
            <w:vAlign w:val="center"/>
          </w:tcPr>
          <w:p w14:paraId="365B9BBB" w14:textId="2C8936D5"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Small</w:t>
            </w:r>
          </w:p>
        </w:tc>
        <w:tc>
          <w:tcPr>
            <w:tcW w:w="2339" w:type="dxa"/>
            <w:vAlign w:val="center"/>
          </w:tcPr>
          <w:p w14:paraId="73722780" w14:textId="5FBBAD64"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No</w:t>
            </w:r>
          </w:p>
        </w:tc>
      </w:tr>
    </w:tbl>
    <w:p w14:paraId="3555FB7A" w14:textId="77777777" w:rsidR="001960B6" w:rsidRDefault="001960B6" w:rsidP="000835D9"/>
    <w:p w14:paraId="44419E89" w14:textId="44FB4190" w:rsidR="001960B6" w:rsidRDefault="001960B6" w:rsidP="001960B6">
      <w:pPr>
        <w:pStyle w:val="Caption"/>
        <w:keepNext/>
        <w:spacing w:line="240" w:lineRule="auto"/>
      </w:pPr>
      <w:r w:rsidRPr="00F37F7B">
        <w:rPr>
          <w:b/>
          <w:bCs/>
        </w:rPr>
        <w:t xml:space="preserve">Table </w:t>
      </w:r>
      <w:r>
        <w:rPr>
          <w:b/>
          <w:bCs/>
        </w:rPr>
        <w:t>8</w:t>
      </w:r>
      <w:r w:rsidRPr="00F37F7B">
        <w:rPr>
          <w:b/>
          <w:bCs/>
        </w:rPr>
        <w:t>:</w:t>
      </w:r>
      <w:r>
        <w:t xml:space="preserve"> Focus Group 4 (Disability – Urban)</w:t>
      </w:r>
    </w:p>
    <w:tbl>
      <w:tblPr>
        <w:tblStyle w:val="GridTable4-Accent1"/>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Caption w:val="Table 8: Focus Group four (Disability - Urban)"/>
        <w:tblDescription w:val="Table showing focus group four cohort composition by State/territory, Organisation focus, Organisation size and Expertise in FDV."/>
      </w:tblPr>
      <w:tblGrid>
        <w:gridCol w:w="2338"/>
        <w:gridCol w:w="2338"/>
        <w:gridCol w:w="2339"/>
        <w:gridCol w:w="2339"/>
      </w:tblGrid>
      <w:tr w:rsidR="001960B6" w14:paraId="0F0EC795" w14:textId="77777777" w:rsidTr="001960B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246BBD58" w14:textId="77777777" w:rsidR="001960B6" w:rsidRPr="000835D9" w:rsidRDefault="001960B6" w:rsidP="00956469">
            <w:pPr>
              <w:spacing w:after="0" w:line="240" w:lineRule="auto"/>
              <w:rPr>
                <w:color w:val="FFFFFF" w:themeColor="background1"/>
              </w:rPr>
            </w:pPr>
            <w:r w:rsidRPr="000835D9">
              <w:rPr>
                <w:color w:val="FFFFFF" w:themeColor="background1"/>
              </w:rPr>
              <w:t>State/territory</w:t>
            </w:r>
          </w:p>
        </w:tc>
        <w:tc>
          <w:tcPr>
            <w:tcW w:w="2338"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544BAF0F" w14:textId="77777777" w:rsidR="001960B6" w:rsidRPr="000835D9" w:rsidRDefault="001960B6" w:rsidP="0095646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Organisation focus</w:t>
            </w:r>
          </w:p>
        </w:tc>
        <w:tc>
          <w:tcPr>
            <w:tcW w:w="2339"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7687C756" w14:textId="77777777" w:rsidR="001960B6" w:rsidRPr="000835D9" w:rsidRDefault="001960B6" w:rsidP="0095646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Organisation size</w:t>
            </w:r>
          </w:p>
        </w:tc>
        <w:tc>
          <w:tcPr>
            <w:tcW w:w="2339"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51F715DE" w14:textId="77777777" w:rsidR="001960B6" w:rsidRPr="000835D9" w:rsidRDefault="001960B6" w:rsidP="0095646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Expertise in FDV</w:t>
            </w:r>
          </w:p>
        </w:tc>
      </w:tr>
      <w:tr w:rsidR="001960B6" w14:paraId="11BD41A0"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450B621D" w14:textId="77777777" w:rsidR="001960B6" w:rsidRDefault="001960B6" w:rsidP="00956469">
            <w:pPr>
              <w:spacing w:after="0" w:line="240" w:lineRule="auto"/>
            </w:pPr>
            <w:r>
              <w:t>National</w:t>
            </w:r>
          </w:p>
        </w:tc>
        <w:tc>
          <w:tcPr>
            <w:tcW w:w="2338" w:type="dxa"/>
            <w:vAlign w:val="center"/>
          </w:tcPr>
          <w:p w14:paraId="60BFDB35" w14:textId="77777777" w:rsidR="001960B6" w:rsidRDefault="001960B6" w:rsidP="00956469">
            <w:pPr>
              <w:spacing w:after="0" w:line="240" w:lineRule="auto"/>
              <w:cnfStyle w:val="000000100000" w:firstRow="0" w:lastRow="0" w:firstColumn="0" w:lastColumn="0" w:oddVBand="0" w:evenVBand="0" w:oddHBand="1" w:evenHBand="0" w:firstRowFirstColumn="0" w:firstRowLastColumn="0" w:lastRowFirstColumn="0" w:lastRowLastColumn="0"/>
            </w:pPr>
            <w:r>
              <w:t>Service delivery, Advocacy</w:t>
            </w:r>
          </w:p>
        </w:tc>
        <w:tc>
          <w:tcPr>
            <w:tcW w:w="2339" w:type="dxa"/>
            <w:vAlign w:val="center"/>
          </w:tcPr>
          <w:p w14:paraId="3B4976F1" w14:textId="77777777" w:rsidR="001960B6" w:rsidRDefault="001960B6" w:rsidP="00956469">
            <w:pPr>
              <w:spacing w:after="0" w:line="240" w:lineRule="auto"/>
              <w:cnfStyle w:val="000000100000" w:firstRow="0" w:lastRow="0" w:firstColumn="0" w:lastColumn="0" w:oddVBand="0" w:evenVBand="0" w:oddHBand="1" w:evenHBand="0" w:firstRowFirstColumn="0" w:firstRowLastColumn="0" w:lastRowFirstColumn="0" w:lastRowLastColumn="0"/>
            </w:pPr>
            <w:r>
              <w:t>Large</w:t>
            </w:r>
          </w:p>
        </w:tc>
        <w:tc>
          <w:tcPr>
            <w:tcW w:w="2339" w:type="dxa"/>
            <w:vAlign w:val="center"/>
          </w:tcPr>
          <w:p w14:paraId="0C64CA9B" w14:textId="77777777" w:rsidR="001960B6" w:rsidRDefault="001960B6" w:rsidP="00956469">
            <w:pPr>
              <w:spacing w:after="0" w:line="240" w:lineRule="auto"/>
              <w:cnfStyle w:val="000000100000" w:firstRow="0" w:lastRow="0" w:firstColumn="0" w:lastColumn="0" w:oddVBand="0" w:evenVBand="0" w:oddHBand="1" w:evenHBand="0" w:firstRowFirstColumn="0" w:firstRowLastColumn="0" w:lastRowFirstColumn="0" w:lastRowLastColumn="0"/>
            </w:pPr>
            <w:r>
              <w:t>No</w:t>
            </w:r>
          </w:p>
        </w:tc>
      </w:tr>
      <w:tr w:rsidR="001960B6" w14:paraId="205508C6" w14:textId="77777777" w:rsidTr="001960B6">
        <w:trPr>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248B5C23" w14:textId="77777777" w:rsidR="001960B6" w:rsidRDefault="001960B6" w:rsidP="00956469">
            <w:pPr>
              <w:spacing w:after="0" w:line="240" w:lineRule="auto"/>
            </w:pPr>
            <w:r>
              <w:t>NSW</w:t>
            </w:r>
          </w:p>
        </w:tc>
        <w:tc>
          <w:tcPr>
            <w:tcW w:w="2338" w:type="dxa"/>
            <w:vAlign w:val="center"/>
          </w:tcPr>
          <w:p w14:paraId="115A695C" w14:textId="77777777" w:rsidR="001960B6" w:rsidRDefault="001960B6" w:rsidP="00956469">
            <w:pPr>
              <w:spacing w:after="0" w:line="240" w:lineRule="auto"/>
              <w:cnfStyle w:val="000000000000" w:firstRow="0" w:lastRow="0" w:firstColumn="0" w:lastColumn="0" w:oddVBand="0" w:evenVBand="0" w:oddHBand="0" w:evenHBand="0" w:firstRowFirstColumn="0" w:firstRowLastColumn="0" w:lastRowFirstColumn="0" w:lastRowLastColumn="0"/>
            </w:pPr>
            <w:r>
              <w:t>Housing</w:t>
            </w:r>
          </w:p>
        </w:tc>
        <w:tc>
          <w:tcPr>
            <w:tcW w:w="2339" w:type="dxa"/>
            <w:vAlign w:val="center"/>
          </w:tcPr>
          <w:p w14:paraId="54889C34" w14:textId="77777777" w:rsidR="001960B6" w:rsidRDefault="001960B6" w:rsidP="00956469">
            <w:pPr>
              <w:spacing w:after="0" w:line="240" w:lineRule="auto"/>
              <w:cnfStyle w:val="000000000000" w:firstRow="0" w:lastRow="0" w:firstColumn="0" w:lastColumn="0" w:oddVBand="0" w:evenVBand="0" w:oddHBand="0" w:evenHBand="0" w:firstRowFirstColumn="0" w:firstRowLastColumn="0" w:lastRowFirstColumn="0" w:lastRowLastColumn="0"/>
            </w:pPr>
            <w:r>
              <w:t>Large</w:t>
            </w:r>
          </w:p>
        </w:tc>
        <w:tc>
          <w:tcPr>
            <w:tcW w:w="2339" w:type="dxa"/>
            <w:vAlign w:val="center"/>
          </w:tcPr>
          <w:p w14:paraId="17DD500F" w14:textId="77777777" w:rsidR="001960B6" w:rsidRDefault="001960B6" w:rsidP="00956469">
            <w:pPr>
              <w:spacing w:after="0" w:line="240" w:lineRule="auto"/>
              <w:cnfStyle w:val="000000000000" w:firstRow="0" w:lastRow="0" w:firstColumn="0" w:lastColumn="0" w:oddVBand="0" w:evenVBand="0" w:oddHBand="0" w:evenHBand="0" w:firstRowFirstColumn="0" w:firstRowLastColumn="0" w:lastRowFirstColumn="0" w:lastRowLastColumn="0"/>
            </w:pPr>
            <w:r>
              <w:t>No</w:t>
            </w:r>
          </w:p>
        </w:tc>
      </w:tr>
      <w:tr w:rsidR="001960B6" w14:paraId="61BA8302"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793E45AE" w14:textId="77777777" w:rsidR="001960B6" w:rsidRDefault="001960B6" w:rsidP="00956469">
            <w:pPr>
              <w:spacing w:after="0" w:line="240" w:lineRule="auto"/>
            </w:pPr>
            <w:r>
              <w:t>SA</w:t>
            </w:r>
          </w:p>
        </w:tc>
        <w:tc>
          <w:tcPr>
            <w:tcW w:w="2338" w:type="dxa"/>
            <w:vAlign w:val="center"/>
          </w:tcPr>
          <w:p w14:paraId="6504156D" w14:textId="77777777" w:rsidR="001960B6" w:rsidRDefault="001960B6" w:rsidP="00956469">
            <w:pPr>
              <w:spacing w:after="0" w:line="240" w:lineRule="auto"/>
              <w:cnfStyle w:val="000000100000" w:firstRow="0" w:lastRow="0" w:firstColumn="0" w:lastColumn="0" w:oddVBand="0" w:evenVBand="0" w:oddHBand="1" w:evenHBand="0" w:firstRowFirstColumn="0" w:firstRowLastColumn="0" w:lastRowFirstColumn="0" w:lastRowLastColumn="0"/>
            </w:pPr>
            <w:r>
              <w:t>Service delivery</w:t>
            </w:r>
          </w:p>
        </w:tc>
        <w:tc>
          <w:tcPr>
            <w:tcW w:w="2339" w:type="dxa"/>
            <w:vAlign w:val="center"/>
          </w:tcPr>
          <w:p w14:paraId="68B6E21E" w14:textId="77777777" w:rsidR="001960B6" w:rsidRDefault="001960B6" w:rsidP="00956469">
            <w:pPr>
              <w:spacing w:after="0" w:line="240" w:lineRule="auto"/>
              <w:cnfStyle w:val="000000100000" w:firstRow="0" w:lastRow="0" w:firstColumn="0" w:lastColumn="0" w:oddVBand="0" w:evenVBand="0" w:oddHBand="1" w:evenHBand="0" w:firstRowFirstColumn="0" w:firstRowLastColumn="0" w:lastRowFirstColumn="0" w:lastRowLastColumn="0"/>
            </w:pPr>
            <w:r>
              <w:t>Small</w:t>
            </w:r>
          </w:p>
        </w:tc>
        <w:tc>
          <w:tcPr>
            <w:tcW w:w="2339" w:type="dxa"/>
            <w:vAlign w:val="center"/>
          </w:tcPr>
          <w:p w14:paraId="4B0D8BD7" w14:textId="77777777" w:rsidR="001960B6" w:rsidRDefault="001960B6" w:rsidP="00956469">
            <w:pPr>
              <w:spacing w:after="0" w:line="240" w:lineRule="auto"/>
              <w:cnfStyle w:val="000000100000" w:firstRow="0" w:lastRow="0" w:firstColumn="0" w:lastColumn="0" w:oddVBand="0" w:evenVBand="0" w:oddHBand="1" w:evenHBand="0" w:firstRowFirstColumn="0" w:firstRowLastColumn="0" w:lastRowFirstColumn="0" w:lastRowLastColumn="0"/>
            </w:pPr>
            <w:r>
              <w:t>No</w:t>
            </w:r>
          </w:p>
        </w:tc>
      </w:tr>
      <w:tr w:rsidR="001960B6" w14:paraId="35B54072" w14:textId="77777777" w:rsidTr="001960B6">
        <w:trPr>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4B40BDA4" w14:textId="77777777" w:rsidR="001960B6" w:rsidRDefault="001960B6" w:rsidP="00956469">
            <w:pPr>
              <w:spacing w:after="0" w:line="240" w:lineRule="auto"/>
            </w:pPr>
            <w:r>
              <w:t>SA</w:t>
            </w:r>
          </w:p>
        </w:tc>
        <w:tc>
          <w:tcPr>
            <w:tcW w:w="2338" w:type="dxa"/>
            <w:vAlign w:val="center"/>
          </w:tcPr>
          <w:p w14:paraId="0DB81539" w14:textId="77777777" w:rsidR="001960B6" w:rsidRDefault="001960B6" w:rsidP="00956469">
            <w:pPr>
              <w:spacing w:after="0" w:line="240" w:lineRule="auto"/>
              <w:cnfStyle w:val="000000000000" w:firstRow="0" w:lastRow="0" w:firstColumn="0" w:lastColumn="0" w:oddVBand="0" w:evenVBand="0" w:oddHBand="0" w:evenHBand="0" w:firstRowFirstColumn="0" w:firstRowLastColumn="0" w:lastRowFirstColumn="0" w:lastRowLastColumn="0"/>
            </w:pPr>
            <w:r>
              <w:t>Service delivery</w:t>
            </w:r>
          </w:p>
        </w:tc>
        <w:tc>
          <w:tcPr>
            <w:tcW w:w="2339" w:type="dxa"/>
            <w:vAlign w:val="center"/>
          </w:tcPr>
          <w:p w14:paraId="6A12DA9C" w14:textId="77777777" w:rsidR="001960B6" w:rsidRDefault="001960B6" w:rsidP="00956469">
            <w:pPr>
              <w:spacing w:after="0" w:line="240" w:lineRule="auto"/>
              <w:cnfStyle w:val="000000000000" w:firstRow="0" w:lastRow="0" w:firstColumn="0" w:lastColumn="0" w:oddVBand="0" w:evenVBand="0" w:oddHBand="0" w:evenHBand="0" w:firstRowFirstColumn="0" w:firstRowLastColumn="0" w:lastRowFirstColumn="0" w:lastRowLastColumn="0"/>
            </w:pPr>
            <w:r>
              <w:t>Small</w:t>
            </w:r>
          </w:p>
        </w:tc>
        <w:tc>
          <w:tcPr>
            <w:tcW w:w="2339" w:type="dxa"/>
            <w:vAlign w:val="center"/>
          </w:tcPr>
          <w:p w14:paraId="705987A2" w14:textId="77777777" w:rsidR="001960B6" w:rsidRDefault="001960B6" w:rsidP="00956469">
            <w:pPr>
              <w:spacing w:after="0" w:line="240" w:lineRule="auto"/>
              <w:cnfStyle w:val="000000000000" w:firstRow="0" w:lastRow="0" w:firstColumn="0" w:lastColumn="0" w:oddVBand="0" w:evenVBand="0" w:oddHBand="0" w:evenHBand="0" w:firstRowFirstColumn="0" w:firstRowLastColumn="0" w:lastRowFirstColumn="0" w:lastRowLastColumn="0"/>
            </w:pPr>
            <w:r>
              <w:t>No</w:t>
            </w:r>
          </w:p>
        </w:tc>
      </w:tr>
      <w:tr w:rsidR="001960B6" w14:paraId="1C1FC8F4"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05763327" w14:textId="77777777" w:rsidR="001960B6" w:rsidRDefault="001960B6" w:rsidP="00956469">
            <w:pPr>
              <w:spacing w:after="0" w:line="240" w:lineRule="auto"/>
            </w:pPr>
            <w:r>
              <w:t>National</w:t>
            </w:r>
          </w:p>
        </w:tc>
        <w:tc>
          <w:tcPr>
            <w:tcW w:w="2338" w:type="dxa"/>
            <w:vAlign w:val="center"/>
          </w:tcPr>
          <w:p w14:paraId="22951B90" w14:textId="77777777" w:rsidR="001960B6" w:rsidRDefault="001960B6" w:rsidP="00956469">
            <w:pPr>
              <w:spacing w:after="0" w:line="240" w:lineRule="auto"/>
              <w:cnfStyle w:val="000000100000" w:firstRow="0" w:lastRow="0" w:firstColumn="0" w:lastColumn="0" w:oddVBand="0" w:evenVBand="0" w:oddHBand="1" w:evenHBand="0" w:firstRowFirstColumn="0" w:firstRowLastColumn="0" w:lastRowFirstColumn="0" w:lastRowLastColumn="0"/>
            </w:pPr>
            <w:r>
              <w:t>Service delivery</w:t>
            </w:r>
          </w:p>
        </w:tc>
        <w:tc>
          <w:tcPr>
            <w:tcW w:w="2339" w:type="dxa"/>
            <w:vAlign w:val="center"/>
          </w:tcPr>
          <w:p w14:paraId="4D4F2639" w14:textId="77777777" w:rsidR="001960B6" w:rsidRDefault="001960B6" w:rsidP="00956469">
            <w:pPr>
              <w:spacing w:after="0" w:line="240" w:lineRule="auto"/>
              <w:cnfStyle w:val="000000100000" w:firstRow="0" w:lastRow="0" w:firstColumn="0" w:lastColumn="0" w:oddVBand="0" w:evenVBand="0" w:oddHBand="1" w:evenHBand="0" w:firstRowFirstColumn="0" w:firstRowLastColumn="0" w:lastRowFirstColumn="0" w:lastRowLastColumn="0"/>
            </w:pPr>
            <w:r>
              <w:t xml:space="preserve">Large </w:t>
            </w:r>
          </w:p>
        </w:tc>
        <w:tc>
          <w:tcPr>
            <w:tcW w:w="2339" w:type="dxa"/>
            <w:vAlign w:val="center"/>
          </w:tcPr>
          <w:p w14:paraId="707A3A69" w14:textId="77777777" w:rsidR="001960B6" w:rsidRDefault="001960B6" w:rsidP="00956469">
            <w:pPr>
              <w:spacing w:after="0" w:line="240" w:lineRule="auto"/>
              <w:cnfStyle w:val="000000100000" w:firstRow="0" w:lastRow="0" w:firstColumn="0" w:lastColumn="0" w:oddVBand="0" w:evenVBand="0" w:oddHBand="1" w:evenHBand="0" w:firstRowFirstColumn="0" w:firstRowLastColumn="0" w:lastRowFirstColumn="0" w:lastRowLastColumn="0"/>
            </w:pPr>
            <w:r>
              <w:t>No</w:t>
            </w:r>
          </w:p>
        </w:tc>
      </w:tr>
      <w:tr w:rsidR="001960B6" w14:paraId="45B35F81" w14:textId="77777777" w:rsidTr="001960B6">
        <w:trPr>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0A6D0765" w14:textId="77777777" w:rsidR="001960B6" w:rsidRDefault="001960B6" w:rsidP="00956469">
            <w:pPr>
              <w:spacing w:after="0" w:line="240" w:lineRule="auto"/>
            </w:pPr>
            <w:r>
              <w:t>ACT</w:t>
            </w:r>
          </w:p>
        </w:tc>
        <w:tc>
          <w:tcPr>
            <w:tcW w:w="2338" w:type="dxa"/>
            <w:vAlign w:val="center"/>
          </w:tcPr>
          <w:p w14:paraId="13C15D80" w14:textId="77777777" w:rsidR="001960B6" w:rsidRDefault="001960B6" w:rsidP="00956469">
            <w:pPr>
              <w:spacing w:after="0" w:line="240" w:lineRule="auto"/>
              <w:cnfStyle w:val="000000000000" w:firstRow="0" w:lastRow="0" w:firstColumn="0" w:lastColumn="0" w:oddVBand="0" w:evenVBand="0" w:oddHBand="0" w:evenHBand="0" w:firstRowFirstColumn="0" w:firstRowLastColumn="0" w:lastRowFirstColumn="0" w:lastRowLastColumn="0"/>
            </w:pPr>
            <w:r>
              <w:t>Service delivery, housing</w:t>
            </w:r>
          </w:p>
        </w:tc>
        <w:tc>
          <w:tcPr>
            <w:tcW w:w="2339" w:type="dxa"/>
            <w:vAlign w:val="center"/>
          </w:tcPr>
          <w:p w14:paraId="7C2CA6A0" w14:textId="77777777" w:rsidR="001960B6" w:rsidRDefault="001960B6" w:rsidP="00956469">
            <w:pPr>
              <w:spacing w:after="0" w:line="240" w:lineRule="auto"/>
              <w:cnfStyle w:val="000000000000" w:firstRow="0" w:lastRow="0" w:firstColumn="0" w:lastColumn="0" w:oddVBand="0" w:evenVBand="0" w:oddHBand="0" w:evenHBand="0" w:firstRowFirstColumn="0" w:firstRowLastColumn="0" w:lastRowFirstColumn="0" w:lastRowLastColumn="0"/>
            </w:pPr>
            <w:r>
              <w:t>Medium</w:t>
            </w:r>
          </w:p>
        </w:tc>
        <w:tc>
          <w:tcPr>
            <w:tcW w:w="2339" w:type="dxa"/>
            <w:vAlign w:val="center"/>
          </w:tcPr>
          <w:p w14:paraId="580151FE" w14:textId="77777777" w:rsidR="001960B6" w:rsidRDefault="001960B6" w:rsidP="00956469">
            <w:pPr>
              <w:spacing w:after="0" w:line="240" w:lineRule="auto"/>
              <w:cnfStyle w:val="000000000000" w:firstRow="0" w:lastRow="0" w:firstColumn="0" w:lastColumn="0" w:oddVBand="0" w:evenVBand="0" w:oddHBand="0" w:evenHBand="0" w:firstRowFirstColumn="0" w:firstRowLastColumn="0" w:lastRowFirstColumn="0" w:lastRowLastColumn="0"/>
            </w:pPr>
            <w:r>
              <w:t>Yes</w:t>
            </w:r>
          </w:p>
        </w:tc>
      </w:tr>
      <w:tr w:rsidR="001960B6" w14:paraId="57D02C5F"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0D63B6BA" w14:textId="77777777" w:rsidR="001960B6" w:rsidRDefault="001960B6" w:rsidP="00956469">
            <w:pPr>
              <w:spacing w:after="0" w:line="240" w:lineRule="auto"/>
            </w:pPr>
            <w:r>
              <w:t>SA</w:t>
            </w:r>
          </w:p>
        </w:tc>
        <w:tc>
          <w:tcPr>
            <w:tcW w:w="2338" w:type="dxa"/>
            <w:vAlign w:val="center"/>
          </w:tcPr>
          <w:p w14:paraId="4565AF66" w14:textId="77777777" w:rsidR="001960B6" w:rsidRDefault="001960B6" w:rsidP="00956469">
            <w:pPr>
              <w:spacing w:after="0" w:line="240" w:lineRule="auto"/>
              <w:cnfStyle w:val="000000100000" w:firstRow="0" w:lastRow="0" w:firstColumn="0" w:lastColumn="0" w:oddVBand="0" w:evenVBand="0" w:oddHBand="1" w:evenHBand="0" w:firstRowFirstColumn="0" w:firstRowLastColumn="0" w:lastRowFirstColumn="0" w:lastRowLastColumn="0"/>
            </w:pPr>
            <w:r>
              <w:t>Service delivery</w:t>
            </w:r>
          </w:p>
        </w:tc>
        <w:tc>
          <w:tcPr>
            <w:tcW w:w="2339" w:type="dxa"/>
            <w:vAlign w:val="center"/>
          </w:tcPr>
          <w:p w14:paraId="6906ADE0" w14:textId="77777777" w:rsidR="001960B6" w:rsidRDefault="001960B6" w:rsidP="00956469">
            <w:pPr>
              <w:spacing w:after="0" w:line="240" w:lineRule="auto"/>
              <w:cnfStyle w:val="000000100000" w:firstRow="0" w:lastRow="0" w:firstColumn="0" w:lastColumn="0" w:oddVBand="0" w:evenVBand="0" w:oddHBand="1" w:evenHBand="0" w:firstRowFirstColumn="0" w:firstRowLastColumn="0" w:lastRowFirstColumn="0" w:lastRowLastColumn="0"/>
            </w:pPr>
            <w:r>
              <w:t>Small</w:t>
            </w:r>
          </w:p>
        </w:tc>
        <w:tc>
          <w:tcPr>
            <w:tcW w:w="2339" w:type="dxa"/>
            <w:vAlign w:val="center"/>
          </w:tcPr>
          <w:p w14:paraId="404951B4" w14:textId="77777777" w:rsidR="001960B6" w:rsidRDefault="001960B6" w:rsidP="00956469">
            <w:pPr>
              <w:spacing w:after="0" w:line="240" w:lineRule="auto"/>
              <w:cnfStyle w:val="000000100000" w:firstRow="0" w:lastRow="0" w:firstColumn="0" w:lastColumn="0" w:oddVBand="0" w:evenVBand="0" w:oddHBand="1" w:evenHBand="0" w:firstRowFirstColumn="0" w:firstRowLastColumn="0" w:lastRowFirstColumn="0" w:lastRowLastColumn="0"/>
            </w:pPr>
            <w:r>
              <w:t>No</w:t>
            </w:r>
          </w:p>
        </w:tc>
      </w:tr>
    </w:tbl>
    <w:p w14:paraId="3B298E37" w14:textId="77777777" w:rsidR="001960B6" w:rsidRDefault="001960B6" w:rsidP="000835D9"/>
    <w:p w14:paraId="592C31B8" w14:textId="6C44C510" w:rsidR="001960B6" w:rsidRDefault="001960B6" w:rsidP="001960B6">
      <w:pPr>
        <w:pStyle w:val="Caption"/>
        <w:keepNext/>
        <w:spacing w:line="240" w:lineRule="auto"/>
      </w:pPr>
      <w:r w:rsidRPr="00F37F7B">
        <w:rPr>
          <w:b/>
          <w:bCs/>
        </w:rPr>
        <w:t xml:space="preserve">Table </w:t>
      </w:r>
      <w:r>
        <w:rPr>
          <w:b/>
          <w:bCs/>
        </w:rPr>
        <w:t>9</w:t>
      </w:r>
      <w:r w:rsidRPr="00F37F7B">
        <w:rPr>
          <w:b/>
          <w:bCs/>
        </w:rPr>
        <w:t>:</w:t>
      </w:r>
      <w:r>
        <w:t xml:space="preserve"> Focus Group 5 (First Nations – Regional-remote*)</w:t>
      </w:r>
    </w:p>
    <w:tbl>
      <w:tblPr>
        <w:tblStyle w:val="GridTable4-Accent1"/>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Caption w:val="Table 9: Focus Group five (First Nations - Regional -remote*)"/>
        <w:tblDescription w:val="Table showing focus group five cohort composition by State/territory, Organisation focus, Organisation size and Expertise in FDV. *Unable to recruit participants who had expertise in urban areas, so both Focus Group 5 and 6 included stakeholders with expertise in regional-remote areas. "/>
      </w:tblPr>
      <w:tblGrid>
        <w:gridCol w:w="2338"/>
        <w:gridCol w:w="2338"/>
        <w:gridCol w:w="2339"/>
        <w:gridCol w:w="2339"/>
      </w:tblGrid>
      <w:tr w:rsidR="001960B6" w14:paraId="607C41FA" w14:textId="77777777" w:rsidTr="001960B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0F7C45C0" w14:textId="77777777" w:rsidR="001960B6" w:rsidRPr="000835D9" w:rsidRDefault="001960B6" w:rsidP="00956469">
            <w:pPr>
              <w:spacing w:after="0" w:line="240" w:lineRule="auto"/>
              <w:rPr>
                <w:color w:val="FFFFFF" w:themeColor="background1"/>
              </w:rPr>
            </w:pPr>
            <w:r w:rsidRPr="000835D9">
              <w:rPr>
                <w:color w:val="FFFFFF" w:themeColor="background1"/>
              </w:rPr>
              <w:t>State/territory</w:t>
            </w:r>
          </w:p>
        </w:tc>
        <w:tc>
          <w:tcPr>
            <w:tcW w:w="2338"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2D8C8B6D" w14:textId="77777777" w:rsidR="001960B6" w:rsidRPr="000835D9" w:rsidRDefault="001960B6" w:rsidP="0095646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Organisation focus</w:t>
            </w:r>
          </w:p>
        </w:tc>
        <w:tc>
          <w:tcPr>
            <w:tcW w:w="2339"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03CDA2AD" w14:textId="77777777" w:rsidR="001960B6" w:rsidRPr="000835D9" w:rsidRDefault="001960B6" w:rsidP="0095646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Organisation size</w:t>
            </w:r>
          </w:p>
        </w:tc>
        <w:tc>
          <w:tcPr>
            <w:tcW w:w="2339"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02E684AB" w14:textId="77777777" w:rsidR="001960B6" w:rsidRPr="000835D9" w:rsidRDefault="001960B6" w:rsidP="0095646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Expertise in FDV</w:t>
            </w:r>
          </w:p>
        </w:tc>
      </w:tr>
      <w:tr w:rsidR="001960B6" w14:paraId="368B2DEB"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19FBF3F5" w14:textId="5FA3B0DE" w:rsidR="001960B6" w:rsidRDefault="001960B6" w:rsidP="001960B6">
            <w:pPr>
              <w:spacing w:after="0" w:line="240" w:lineRule="auto"/>
            </w:pPr>
            <w:r>
              <w:t>NSW</w:t>
            </w:r>
          </w:p>
        </w:tc>
        <w:tc>
          <w:tcPr>
            <w:tcW w:w="2338" w:type="dxa"/>
            <w:vAlign w:val="center"/>
          </w:tcPr>
          <w:p w14:paraId="71CACA34" w14:textId="62A51E74"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rsidRPr="003C1FD5">
              <w:t>Service delivery</w:t>
            </w:r>
          </w:p>
        </w:tc>
        <w:tc>
          <w:tcPr>
            <w:tcW w:w="2339" w:type="dxa"/>
            <w:vAlign w:val="center"/>
          </w:tcPr>
          <w:p w14:paraId="0BBC22AE" w14:textId="08078AE2"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Medium</w:t>
            </w:r>
          </w:p>
        </w:tc>
        <w:tc>
          <w:tcPr>
            <w:tcW w:w="2339" w:type="dxa"/>
            <w:vAlign w:val="center"/>
          </w:tcPr>
          <w:p w14:paraId="4B8B355E" w14:textId="64D372CF"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Yes</w:t>
            </w:r>
          </w:p>
        </w:tc>
      </w:tr>
      <w:tr w:rsidR="001960B6" w14:paraId="04C76411" w14:textId="77777777" w:rsidTr="001960B6">
        <w:trPr>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146D50E3" w14:textId="25C526FE" w:rsidR="001960B6" w:rsidRDefault="001960B6" w:rsidP="001960B6">
            <w:pPr>
              <w:spacing w:after="0" w:line="240" w:lineRule="auto"/>
            </w:pPr>
            <w:r>
              <w:t>NSW</w:t>
            </w:r>
          </w:p>
        </w:tc>
        <w:tc>
          <w:tcPr>
            <w:tcW w:w="2338" w:type="dxa"/>
            <w:vAlign w:val="center"/>
          </w:tcPr>
          <w:p w14:paraId="40C4D700" w14:textId="738E3CF3"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t>Advocacy</w:t>
            </w:r>
          </w:p>
        </w:tc>
        <w:tc>
          <w:tcPr>
            <w:tcW w:w="2339" w:type="dxa"/>
            <w:vAlign w:val="center"/>
          </w:tcPr>
          <w:p w14:paraId="5A79003A" w14:textId="2467A6D7"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t>Medium</w:t>
            </w:r>
          </w:p>
        </w:tc>
        <w:tc>
          <w:tcPr>
            <w:tcW w:w="2339" w:type="dxa"/>
            <w:vAlign w:val="center"/>
          </w:tcPr>
          <w:p w14:paraId="6F0A9A1E" w14:textId="1EE85F5F"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t>Yes</w:t>
            </w:r>
          </w:p>
        </w:tc>
      </w:tr>
      <w:tr w:rsidR="001960B6" w14:paraId="0BDA1FBA"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70569AB1" w14:textId="1775A442" w:rsidR="001960B6" w:rsidRDefault="001960B6" w:rsidP="001960B6">
            <w:pPr>
              <w:spacing w:after="0" w:line="240" w:lineRule="auto"/>
            </w:pPr>
            <w:r>
              <w:t>NSW</w:t>
            </w:r>
          </w:p>
        </w:tc>
        <w:tc>
          <w:tcPr>
            <w:tcW w:w="2338" w:type="dxa"/>
            <w:vAlign w:val="center"/>
          </w:tcPr>
          <w:p w14:paraId="4579732F" w14:textId="32C53D4D"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Advocacy</w:t>
            </w:r>
          </w:p>
        </w:tc>
        <w:tc>
          <w:tcPr>
            <w:tcW w:w="2339" w:type="dxa"/>
            <w:vAlign w:val="center"/>
          </w:tcPr>
          <w:p w14:paraId="5F44A7B7" w14:textId="37785C6C"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Medium</w:t>
            </w:r>
          </w:p>
        </w:tc>
        <w:tc>
          <w:tcPr>
            <w:tcW w:w="2339" w:type="dxa"/>
            <w:vAlign w:val="center"/>
          </w:tcPr>
          <w:p w14:paraId="67E308EB" w14:textId="539F6FC4"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Yes</w:t>
            </w:r>
          </w:p>
        </w:tc>
      </w:tr>
      <w:tr w:rsidR="001960B6" w14:paraId="5F31A9FB" w14:textId="77777777" w:rsidTr="001960B6">
        <w:trPr>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49FFDBD1" w14:textId="172B447B" w:rsidR="001960B6" w:rsidRDefault="001960B6" w:rsidP="001960B6">
            <w:pPr>
              <w:spacing w:after="0" w:line="240" w:lineRule="auto"/>
            </w:pPr>
            <w:r>
              <w:t>NSW</w:t>
            </w:r>
          </w:p>
        </w:tc>
        <w:tc>
          <w:tcPr>
            <w:tcW w:w="2338" w:type="dxa"/>
            <w:vAlign w:val="center"/>
          </w:tcPr>
          <w:p w14:paraId="77A0B212" w14:textId="53CD7296"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rsidRPr="003C1FD5">
              <w:t>Service delivery</w:t>
            </w:r>
          </w:p>
        </w:tc>
        <w:tc>
          <w:tcPr>
            <w:tcW w:w="2339" w:type="dxa"/>
            <w:vAlign w:val="center"/>
          </w:tcPr>
          <w:p w14:paraId="6ADC51E0" w14:textId="1F7E7EAB"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t>Large</w:t>
            </w:r>
          </w:p>
        </w:tc>
        <w:tc>
          <w:tcPr>
            <w:tcW w:w="2339" w:type="dxa"/>
            <w:vAlign w:val="center"/>
          </w:tcPr>
          <w:p w14:paraId="213DE973" w14:textId="268F8B25"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t>Yes</w:t>
            </w:r>
          </w:p>
        </w:tc>
      </w:tr>
      <w:tr w:rsidR="001960B6" w14:paraId="3027BC0D"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0F52EDC9" w14:textId="71EEE79D" w:rsidR="001960B6" w:rsidRDefault="001960B6" w:rsidP="001960B6">
            <w:pPr>
              <w:spacing w:after="0" w:line="240" w:lineRule="auto"/>
            </w:pPr>
            <w:r>
              <w:t>NSW</w:t>
            </w:r>
          </w:p>
        </w:tc>
        <w:tc>
          <w:tcPr>
            <w:tcW w:w="2338" w:type="dxa"/>
            <w:vAlign w:val="center"/>
          </w:tcPr>
          <w:p w14:paraId="7B78E533" w14:textId="0BB1C680"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Crisis accommodation</w:t>
            </w:r>
          </w:p>
        </w:tc>
        <w:tc>
          <w:tcPr>
            <w:tcW w:w="2339" w:type="dxa"/>
            <w:vAlign w:val="center"/>
          </w:tcPr>
          <w:p w14:paraId="67FDC3AB" w14:textId="52CE1B05"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Medium</w:t>
            </w:r>
          </w:p>
        </w:tc>
        <w:tc>
          <w:tcPr>
            <w:tcW w:w="2339" w:type="dxa"/>
            <w:vAlign w:val="center"/>
          </w:tcPr>
          <w:p w14:paraId="0D4877C7" w14:textId="6BD9D538"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Yes</w:t>
            </w:r>
          </w:p>
        </w:tc>
      </w:tr>
    </w:tbl>
    <w:p w14:paraId="48D97361" w14:textId="77777777" w:rsidR="001960B6" w:rsidRDefault="001960B6" w:rsidP="000835D9"/>
    <w:p w14:paraId="71D3735D" w14:textId="14341C33" w:rsidR="001960B6" w:rsidRDefault="001960B6" w:rsidP="001960B6">
      <w:pPr>
        <w:pStyle w:val="Caption"/>
        <w:keepNext/>
        <w:spacing w:line="240" w:lineRule="auto"/>
      </w:pPr>
      <w:r w:rsidRPr="00F37F7B">
        <w:rPr>
          <w:b/>
          <w:bCs/>
        </w:rPr>
        <w:t xml:space="preserve">Table </w:t>
      </w:r>
      <w:r>
        <w:rPr>
          <w:b/>
          <w:bCs/>
        </w:rPr>
        <w:t>10</w:t>
      </w:r>
      <w:r w:rsidRPr="00F37F7B">
        <w:rPr>
          <w:b/>
          <w:bCs/>
        </w:rPr>
        <w:t>:</w:t>
      </w:r>
      <w:r>
        <w:t xml:space="preserve"> Focus Group 6 (First Nations – Regional-remote*)</w:t>
      </w:r>
    </w:p>
    <w:tbl>
      <w:tblPr>
        <w:tblStyle w:val="GridTable4-Accent1"/>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Caption w:val="Table 10: Focus Group six (First Nations - regional - remote*)"/>
        <w:tblDescription w:val="Table showing focus group six cohort composition by State/territory, Organisation focus, Organisation size and Expertise in FDV.&#10;*Unable to recruit participants who had expertise in urban areas, so both Focus Group 5 and 6 included stakeholders with expertise in regional-remote areas. "/>
      </w:tblPr>
      <w:tblGrid>
        <w:gridCol w:w="2338"/>
        <w:gridCol w:w="2338"/>
        <w:gridCol w:w="2339"/>
        <w:gridCol w:w="2339"/>
      </w:tblGrid>
      <w:tr w:rsidR="001960B6" w14:paraId="20A1BDD4" w14:textId="77777777" w:rsidTr="001960B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57FD9B7D" w14:textId="77777777" w:rsidR="001960B6" w:rsidRPr="000835D9" w:rsidRDefault="001960B6" w:rsidP="00956469">
            <w:pPr>
              <w:spacing w:after="0" w:line="240" w:lineRule="auto"/>
              <w:rPr>
                <w:color w:val="FFFFFF" w:themeColor="background1"/>
              </w:rPr>
            </w:pPr>
            <w:r w:rsidRPr="000835D9">
              <w:rPr>
                <w:color w:val="FFFFFF" w:themeColor="background1"/>
              </w:rPr>
              <w:t>State/territory</w:t>
            </w:r>
          </w:p>
        </w:tc>
        <w:tc>
          <w:tcPr>
            <w:tcW w:w="2338"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3742E90C" w14:textId="77777777" w:rsidR="001960B6" w:rsidRPr="000835D9" w:rsidRDefault="001960B6" w:rsidP="0095646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Organisation focus</w:t>
            </w:r>
          </w:p>
        </w:tc>
        <w:tc>
          <w:tcPr>
            <w:tcW w:w="2339"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1CF334A6" w14:textId="77777777" w:rsidR="001960B6" w:rsidRPr="000835D9" w:rsidRDefault="001960B6" w:rsidP="0095646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Organisation size</w:t>
            </w:r>
          </w:p>
        </w:tc>
        <w:tc>
          <w:tcPr>
            <w:tcW w:w="2339" w:type="dxa"/>
            <w:tcBorders>
              <w:top w:val="none" w:sz="0" w:space="0" w:color="auto"/>
              <w:left w:val="none" w:sz="0" w:space="0" w:color="auto"/>
              <w:bottom w:val="none" w:sz="0" w:space="0" w:color="auto"/>
              <w:right w:val="none" w:sz="0" w:space="0" w:color="auto"/>
            </w:tcBorders>
            <w:shd w:val="clear" w:color="auto" w:fill="DA291C" w:themeFill="background2"/>
            <w:vAlign w:val="center"/>
          </w:tcPr>
          <w:p w14:paraId="39377C21" w14:textId="77777777" w:rsidR="001960B6" w:rsidRPr="000835D9" w:rsidRDefault="001960B6" w:rsidP="00956469">
            <w:pPr>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0835D9">
              <w:rPr>
                <w:color w:val="FFFFFF" w:themeColor="background1"/>
              </w:rPr>
              <w:t>Expertise in FDV</w:t>
            </w:r>
          </w:p>
        </w:tc>
      </w:tr>
      <w:tr w:rsidR="001960B6" w14:paraId="512BC3BC"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77FC3E8F" w14:textId="6ECC70C8" w:rsidR="001960B6" w:rsidRDefault="001960B6" w:rsidP="001960B6">
            <w:pPr>
              <w:spacing w:after="0" w:line="240" w:lineRule="auto"/>
            </w:pPr>
            <w:r>
              <w:t>ACT</w:t>
            </w:r>
          </w:p>
        </w:tc>
        <w:tc>
          <w:tcPr>
            <w:tcW w:w="2338" w:type="dxa"/>
            <w:vAlign w:val="center"/>
          </w:tcPr>
          <w:p w14:paraId="22F8FE45" w14:textId="50FECC00"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rsidRPr="003C1FD5">
              <w:t>Service delivery</w:t>
            </w:r>
          </w:p>
        </w:tc>
        <w:tc>
          <w:tcPr>
            <w:tcW w:w="2339" w:type="dxa"/>
            <w:vAlign w:val="center"/>
          </w:tcPr>
          <w:p w14:paraId="453F5C61" w14:textId="034C77FD"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Medium</w:t>
            </w:r>
          </w:p>
        </w:tc>
        <w:tc>
          <w:tcPr>
            <w:tcW w:w="2339" w:type="dxa"/>
            <w:vAlign w:val="center"/>
          </w:tcPr>
          <w:p w14:paraId="2AC7E1BC" w14:textId="77777777"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Yes</w:t>
            </w:r>
          </w:p>
        </w:tc>
      </w:tr>
      <w:tr w:rsidR="001960B6" w14:paraId="6E2967A8" w14:textId="77777777" w:rsidTr="001960B6">
        <w:trPr>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1700E65B" w14:textId="55ABAA3D" w:rsidR="001960B6" w:rsidRDefault="001960B6" w:rsidP="001960B6">
            <w:pPr>
              <w:spacing w:after="0" w:line="240" w:lineRule="auto"/>
            </w:pPr>
            <w:r>
              <w:t>NSW</w:t>
            </w:r>
          </w:p>
        </w:tc>
        <w:tc>
          <w:tcPr>
            <w:tcW w:w="2338" w:type="dxa"/>
            <w:vAlign w:val="center"/>
          </w:tcPr>
          <w:p w14:paraId="1891E97B" w14:textId="427B2AF7"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t>Advocacy</w:t>
            </w:r>
          </w:p>
        </w:tc>
        <w:tc>
          <w:tcPr>
            <w:tcW w:w="2339" w:type="dxa"/>
            <w:vAlign w:val="center"/>
          </w:tcPr>
          <w:p w14:paraId="30B6E4E8" w14:textId="55632C1C"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t>Medium</w:t>
            </w:r>
          </w:p>
        </w:tc>
        <w:tc>
          <w:tcPr>
            <w:tcW w:w="2339" w:type="dxa"/>
            <w:vAlign w:val="center"/>
          </w:tcPr>
          <w:p w14:paraId="73786E39" w14:textId="77777777" w:rsidR="001960B6" w:rsidRDefault="001960B6" w:rsidP="001960B6">
            <w:pPr>
              <w:spacing w:after="0" w:line="240" w:lineRule="auto"/>
              <w:cnfStyle w:val="000000000000" w:firstRow="0" w:lastRow="0" w:firstColumn="0" w:lastColumn="0" w:oddVBand="0" w:evenVBand="0" w:oddHBand="0" w:evenHBand="0" w:firstRowFirstColumn="0" w:firstRowLastColumn="0" w:lastRowFirstColumn="0" w:lastRowLastColumn="0"/>
            </w:pPr>
            <w:r>
              <w:t>Yes</w:t>
            </w:r>
          </w:p>
        </w:tc>
      </w:tr>
      <w:tr w:rsidR="001960B6" w14:paraId="507FA571" w14:textId="77777777" w:rsidTr="001960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8" w:type="dxa"/>
            <w:vAlign w:val="center"/>
          </w:tcPr>
          <w:p w14:paraId="457A87E6" w14:textId="0F5E4B44" w:rsidR="001960B6" w:rsidRDefault="001960B6" w:rsidP="001960B6">
            <w:pPr>
              <w:spacing w:after="0" w:line="240" w:lineRule="auto"/>
            </w:pPr>
            <w:r>
              <w:t>NT</w:t>
            </w:r>
          </w:p>
        </w:tc>
        <w:tc>
          <w:tcPr>
            <w:tcW w:w="2338" w:type="dxa"/>
            <w:vAlign w:val="center"/>
          </w:tcPr>
          <w:p w14:paraId="08BC63BE" w14:textId="574012AE"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rsidRPr="003C1FD5">
              <w:t>Service delivery</w:t>
            </w:r>
          </w:p>
        </w:tc>
        <w:tc>
          <w:tcPr>
            <w:tcW w:w="2339" w:type="dxa"/>
            <w:vAlign w:val="center"/>
          </w:tcPr>
          <w:p w14:paraId="3E4B13B1" w14:textId="107C9474"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Small</w:t>
            </w:r>
          </w:p>
        </w:tc>
        <w:tc>
          <w:tcPr>
            <w:tcW w:w="2339" w:type="dxa"/>
            <w:vAlign w:val="center"/>
          </w:tcPr>
          <w:p w14:paraId="613F3275" w14:textId="77777777" w:rsidR="001960B6" w:rsidRDefault="001960B6" w:rsidP="001960B6">
            <w:pPr>
              <w:spacing w:after="0" w:line="240" w:lineRule="auto"/>
              <w:cnfStyle w:val="000000100000" w:firstRow="0" w:lastRow="0" w:firstColumn="0" w:lastColumn="0" w:oddVBand="0" w:evenVBand="0" w:oddHBand="1" w:evenHBand="0" w:firstRowFirstColumn="0" w:firstRowLastColumn="0" w:lastRowFirstColumn="0" w:lastRowLastColumn="0"/>
            </w:pPr>
            <w:r>
              <w:t>Yes</w:t>
            </w:r>
          </w:p>
        </w:tc>
      </w:tr>
    </w:tbl>
    <w:p w14:paraId="05949AB4" w14:textId="37E6FFBB" w:rsidR="000E4521" w:rsidRPr="009310A8" w:rsidRDefault="000E4521" w:rsidP="000E4521">
      <w:pPr>
        <w:rPr>
          <w:sz w:val="20"/>
          <w:szCs w:val="20"/>
        </w:rPr>
      </w:pPr>
      <w:r w:rsidRPr="009E7BFD">
        <w:rPr>
          <w:sz w:val="20"/>
          <w:szCs w:val="20"/>
        </w:rPr>
        <w:t>*</w:t>
      </w:r>
      <w:r>
        <w:rPr>
          <w:sz w:val="20"/>
          <w:szCs w:val="20"/>
        </w:rPr>
        <w:t>Unable to recruit</w:t>
      </w:r>
      <w:r w:rsidRPr="009E7BFD">
        <w:rPr>
          <w:sz w:val="20"/>
          <w:szCs w:val="20"/>
        </w:rPr>
        <w:t xml:space="preserve"> participants who had expertise in urban areas, so both Foc</w:t>
      </w:r>
      <w:r w:rsidRPr="00E274BC">
        <w:rPr>
          <w:sz w:val="20"/>
          <w:szCs w:val="20"/>
        </w:rPr>
        <w:t>us Group 5 and 6</w:t>
      </w:r>
      <w:r w:rsidRPr="009E7BFD">
        <w:rPr>
          <w:sz w:val="20"/>
          <w:szCs w:val="20"/>
        </w:rPr>
        <w:t xml:space="preserve"> </w:t>
      </w:r>
      <w:r>
        <w:rPr>
          <w:sz w:val="20"/>
          <w:szCs w:val="20"/>
        </w:rPr>
        <w:t xml:space="preserve">included stakeholders with expertise in regional-remote areas. </w:t>
      </w:r>
    </w:p>
    <w:p w14:paraId="624DB189" w14:textId="35CC86CE" w:rsidR="003D4F60" w:rsidRPr="003D4F60" w:rsidRDefault="003D4F60" w:rsidP="000E4521">
      <w:pPr>
        <w:tabs>
          <w:tab w:val="left" w:pos="1395"/>
        </w:tabs>
        <w:sectPr w:rsidR="003D4F60" w:rsidRPr="003D4F60" w:rsidSect="0083667F">
          <w:footerReference w:type="default" r:id="rId28"/>
          <w:type w:val="oddPage"/>
          <w:pgSz w:w="11906" w:h="16838" w:code="9"/>
          <w:pgMar w:top="1276" w:right="851" w:bottom="1418" w:left="1701" w:header="709" w:footer="811" w:gutter="0"/>
          <w:pgNumType w:start="1"/>
          <w:cols w:space="708"/>
          <w:docGrid w:linePitch="360"/>
        </w:sectPr>
      </w:pPr>
      <w:r>
        <w:tab/>
      </w:r>
    </w:p>
    <w:p w14:paraId="59A0B833" w14:textId="77777777" w:rsidR="00ED4BE4" w:rsidRPr="009D0A21" w:rsidRDefault="00ED4BE4" w:rsidP="00A541C8">
      <w:pPr>
        <w:pStyle w:val="CoverDate"/>
        <w:rPr>
          <w:lang w:val="en-AU"/>
        </w:rPr>
      </w:pPr>
    </w:p>
    <w:p w14:paraId="05C76ECC" w14:textId="77777777" w:rsidR="00ED4BE4" w:rsidRPr="009D0A21" w:rsidRDefault="00ED4BE4" w:rsidP="00A541C8">
      <w:pPr>
        <w:pStyle w:val="CoverDate"/>
        <w:rPr>
          <w:lang w:val="en-AU"/>
        </w:rPr>
      </w:pPr>
    </w:p>
    <w:p w14:paraId="4EF23BA9" w14:textId="77777777" w:rsidR="00ED4BE4" w:rsidRPr="009D0A21" w:rsidRDefault="00ED4BE4" w:rsidP="00A541C8">
      <w:pPr>
        <w:pStyle w:val="CoverDate"/>
        <w:rPr>
          <w:lang w:val="en-AU"/>
        </w:rPr>
      </w:pPr>
    </w:p>
    <w:p w14:paraId="3DE79B09" w14:textId="77777777" w:rsidR="00876F5F" w:rsidRPr="009D0A21" w:rsidRDefault="00EF4891" w:rsidP="00A541C8">
      <w:pPr>
        <w:pStyle w:val="CoverDate"/>
        <w:rPr>
          <w:lang w:val="en-AU"/>
        </w:rPr>
      </w:pPr>
      <w:r>
        <w:rPr>
          <w:lang w:val="en-AU"/>
        </w:rPr>
        <w:t>Tenancy 1, 16 Eveleigh Street</w:t>
      </w:r>
    </w:p>
    <w:p w14:paraId="79337D89" w14:textId="77777777" w:rsidR="004A58BB" w:rsidRPr="009D0A21" w:rsidRDefault="00EF4891" w:rsidP="00A541C8">
      <w:pPr>
        <w:pStyle w:val="CoverDate"/>
        <w:rPr>
          <w:lang w:val="en-AU"/>
        </w:rPr>
      </w:pPr>
      <w:r>
        <w:rPr>
          <w:lang w:val="en-AU"/>
        </w:rPr>
        <w:t>REDFERN   NSW   2016</w:t>
      </w:r>
    </w:p>
    <w:p w14:paraId="4763E5BC" w14:textId="77777777" w:rsidR="00A541C8" w:rsidRPr="009D0A21" w:rsidRDefault="00A541C8" w:rsidP="00A541C8">
      <w:pPr>
        <w:pStyle w:val="CoverDate"/>
        <w:rPr>
          <w:lang w:val="en-AU"/>
        </w:rPr>
      </w:pPr>
      <w:r w:rsidRPr="009D0A21">
        <w:rPr>
          <w:color w:val="DA291C" w:themeColor="background2"/>
          <w:lang w:val="en-AU"/>
        </w:rPr>
        <w:t xml:space="preserve">Tel: </w:t>
      </w:r>
      <w:r w:rsidRPr="009D0A21">
        <w:rPr>
          <w:lang w:val="en-AU"/>
        </w:rPr>
        <w:t xml:space="preserve">+61 </w:t>
      </w:r>
      <w:r w:rsidR="00876F5F" w:rsidRPr="009D0A21">
        <w:rPr>
          <w:lang w:val="en-AU"/>
        </w:rPr>
        <w:t>2 8585 1353</w:t>
      </w:r>
    </w:p>
    <w:sectPr w:rsidR="00A541C8" w:rsidRPr="009D0A21" w:rsidSect="00185950">
      <w:headerReference w:type="default" r:id="rId29"/>
      <w:footerReference w:type="default" r:id="rId30"/>
      <w:pgSz w:w="11906" w:h="16838" w:code="9"/>
      <w:pgMar w:top="11057" w:right="1134" w:bottom="1418" w:left="1134" w:header="709" w:footer="8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DF66F" w14:textId="77777777" w:rsidR="004A62BD" w:rsidRDefault="004A62BD" w:rsidP="003B014D">
      <w:pPr>
        <w:spacing w:after="0" w:line="240" w:lineRule="auto"/>
      </w:pPr>
      <w:r>
        <w:separator/>
      </w:r>
    </w:p>
    <w:p w14:paraId="7D33DC1C" w14:textId="77777777" w:rsidR="004A62BD" w:rsidRDefault="004A62BD"/>
  </w:endnote>
  <w:endnote w:type="continuationSeparator" w:id="0">
    <w:p w14:paraId="36189B02" w14:textId="77777777" w:rsidR="004A62BD" w:rsidRDefault="004A62BD" w:rsidP="003B014D">
      <w:pPr>
        <w:spacing w:after="0" w:line="240" w:lineRule="auto"/>
      </w:pPr>
      <w:r>
        <w:continuationSeparator/>
      </w:r>
    </w:p>
    <w:p w14:paraId="68FF73B1" w14:textId="77777777" w:rsidR="004A62BD" w:rsidRDefault="004A6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oblenz Serial Medium">
    <w:altName w:val="Calibri"/>
    <w:charset w:val="00"/>
    <w:family w:val="modern"/>
    <w:pitch w:val="variable"/>
    <w:sig w:usb0="800000AF" w:usb1="1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Com 45 Light">
    <w:altName w:val="Calibri"/>
    <w:charset w:val="00"/>
    <w:family w:val="swiss"/>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blenz Serial Light">
    <w:altName w:val="Calibri"/>
    <w:panose1 w:val="00000000000000000000"/>
    <w:charset w:val="00"/>
    <w:family w:val="modern"/>
    <w:notTrueType/>
    <w:pitch w:val="variable"/>
    <w:sig w:usb0="800000AF" w:usb1="1000204A"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54274" w14:textId="77777777" w:rsidR="007C5E8E" w:rsidRDefault="007C5E8E" w:rsidP="00CB7070">
    <w:pPr>
      <w:pStyle w:val="Footer"/>
      <w:tabs>
        <w:tab w:val="clear" w:pos="9026"/>
        <w:tab w:val="right" w:pos="9356"/>
      </w:tabs>
      <w:rPr>
        <w:rFonts w:ascii="Arial" w:hAnsi="Arial" w:cs="Arial"/>
        <w:sz w:val="16"/>
        <w:szCs w:val="16"/>
      </w:rPr>
    </w:pPr>
    <w:r>
      <w:rPr>
        <w:rFonts w:ascii="Arial" w:hAnsi="Arial" w:cs="Arial"/>
        <w:sz w:val="16"/>
        <w:szCs w:val="16"/>
      </w:rPr>
      <w:tab/>
    </w:r>
    <w:r>
      <w:rPr>
        <w:rFonts w:ascii="Arial" w:hAnsi="Arial" w:cs="Arial"/>
        <w:sz w:val="16"/>
        <w:szCs w:val="16"/>
      </w:rPr>
      <w:tab/>
    </w:r>
    <w:r w:rsidRPr="00CB7070">
      <w:rPr>
        <w:rStyle w:val="PageNumber"/>
        <w:color w:val="DA291C" w:themeColor="background2"/>
        <w:szCs w:val="16"/>
      </w:rPr>
      <w:fldChar w:fldCharType="begin"/>
    </w:r>
    <w:r w:rsidRPr="00CB7070">
      <w:rPr>
        <w:rStyle w:val="PageNumber"/>
        <w:color w:val="DA291C" w:themeColor="background2"/>
        <w:szCs w:val="16"/>
      </w:rPr>
      <w:instrText xml:space="preserve"> PAGE </w:instrText>
    </w:r>
    <w:r w:rsidRPr="00CB7070">
      <w:rPr>
        <w:rStyle w:val="PageNumber"/>
        <w:color w:val="DA291C" w:themeColor="background2"/>
        <w:szCs w:val="16"/>
      </w:rPr>
      <w:fldChar w:fldCharType="separate"/>
    </w:r>
    <w:r>
      <w:rPr>
        <w:rStyle w:val="PageNumber"/>
        <w:noProof/>
        <w:color w:val="DA291C" w:themeColor="background2"/>
        <w:szCs w:val="16"/>
      </w:rPr>
      <w:t>iii</w:t>
    </w:r>
    <w:r w:rsidRPr="00CB7070">
      <w:rPr>
        <w:rStyle w:val="PageNumber"/>
        <w:color w:val="DA291C" w:themeColor="background2"/>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768E" w14:textId="19CBE25E" w:rsidR="007C5E8E" w:rsidRDefault="007C5E8E" w:rsidP="00CB7070">
    <w:pPr>
      <w:pStyle w:val="Footer"/>
      <w:tabs>
        <w:tab w:val="clear" w:pos="9026"/>
        <w:tab w:val="right" w:pos="9356"/>
      </w:tabs>
      <w:rPr>
        <w:rFonts w:ascii="Arial" w:hAnsi="Arial" w:cs="Arial"/>
        <w:sz w:val="16"/>
        <w:szCs w:val="16"/>
      </w:rPr>
    </w:pPr>
    <w:r w:rsidRPr="00CB7070">
      <w:rPr>
        <w:rFonts w:ascii="Arial" w:hAnsi="Arial" w:cs="Arial"/>
        <w:color w:val="DA291C" w:themeColor="background2"/>
        <w:sz w:val="16"/>
        <w:szCs w:val="16"/>
      </w:rPr>
      <w:sym w:font="Symbol" w:char="F0D3"/>
    </w:r>
    <w:r w:rsidRPr="00CB7070">
      <w:rPr>
        <w:rFonts w:ascii="Arial" w:hAnsi="Arial" w:cs="Arial"/>
        <w:color w:val="DA291C" w:themeColor="background2"/>
        <w:sz w:val="16"/>
        <w:szCs w:val="16"/>
      </w:rPr>
      <w:t xml:space="preserve"> Cultural Perspectives </w:t>
    </w:r>
    <w:r>
      <w:rPr>
        <w:rFonts w:ascii="Arial" w:hAnsi="Arial" w:cs="Arial"/>
        <w:sz w:val="16"/>
        <w:szCs w:val="16"/>
      </w:rPr>
      <w:tab/>
    </w:r>
    <w:r>
      <w:rPr>
        <w:rFonts w:ascii="Arial" w:hAnsi="Arial" w:cs="Arial"/>
        <w:sz w:val="16"/>
        <w:szCs w:val="16"/>
      </w:rPr>
      <w:tab/>
    </w:r>
    <w:r w:rsidRPr="00CB7070">
      <w:rPr>
        <w:rFonts w:ascii="Arial" w:hAnsi="Arial" w:cs="Arial"/>
        <w:color w:val="DA291C" w:themeColor="background2"/>
        <w:sz w:val="16"/>
        <w:szCs w:val="16"/>
      </w:rPr>
      <w:t xml:space="preserve">Page </w:t>
    </w:r>
    <w:r w:rsidRPr="00CB7070">
      <w:rPr>
        <w:rStyle w:val="PageNumber"/>
        <w:color w:val="DA291C" w:themeColor="background2"/>
        <w:szCs w:val="16"/>
      </w:rPr>
      <w:fldChar w:fldCharType="begin"/>
    </w:r>
    <w:r w:rsidRPr="00CB7070">
      <w:rPr>
        <w:rStyle w:val="PageNumber"/>
        <w:color w:val="DA291C" w:themeColor="background2"/>
        <w:szCs w:val="16"/>
      </w:rPr>
      <w:instrText xml:space="preserve"> PAGE </w:instrText>
    </w:r>
    <w:r w:rsidRPr="00CB7070">
      <w:rPr>
        <w:rStyle w:val="PageNumber"/>
        <w:color w:val="DA291C" w:themeColor="background2"/>
        <w:szCs w:val="16"/>
      </w:rPr>
      <w:fldChar w:fldCharType="separate"/>
    </w:r>
    <w:r w:rsidR="004D727B">
      <w:rPr>
        <w:rStyle w:val="PageNumber"/>
        <w:noProof/>
        <w:color w:val="DA291C" w:themeColor="background2"/>
        <w:szCs w:val="16"/>
      </w:rPr>
      <w:t>6</w:t>
    </w:r>
    <w:r w:rsidRPr="00CB7070">
      <w:rPr>
        <w:rStyle w:val="PageNumber"/>
        <w:color w:val="DA291C" w:themeColor="background2"/>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05175" w14:textId="7D370FC8" w:rsidR="00323C26" w:rsidRDefault="00323C26" w:rsidP="00CB7070">
    <w:pPr>
      <w:pStyle w:val="Footer"/>
      <w:tabs>
        <w:tab w:val="clear" w:pos="9026"/>
        <w:tab w:val="right" w:pos="9356"/>
      </w:tabs>
      <w:rPr>
        <w:rFonts w:ascii="Arial" w:hAnsi="Arial" w:cs="Arial"/>
        <w:sz w:val="16"/>
        <w:szCs w:val="16"/>
      </w:rPr>
    </w:pPr>
    <w:r w:rsidRPr="00CB7070">
      <w:rPr>
        <w:rFonts w:ascii="Arial" w:hAnsi="Arial" w:cs="Arial"/>
        <w:color w:val="DA291C" w:themeColor="background2"/>
        <w:sz w:val="16"/>
        <w:szCs w:val="16"/>
      </w:rPr>
      <w:sym w:font="Symbol" w:char="F0D3"/>
    </w:r>
    <w:r w:rsidRPr="00CB7070">
      <w:rPr>
        <w:rFonts w:ascii="Arial" w:hAnsi="Arial" w:cs="Arial"/>
        <w:color w:val="DA291C" w:themeColor="background2"/>
        <w:sz w:val="16"/>
        <w:szCs w:val="16"/>
      </w:rPr>
      <w:t xml:space="preserve"> Cultural Perspectives </w:t>
    </w:r>
    <w:r>
      <w:rPr>
        <w:rFonts w:ascii="Arial" w:hAnsi="Arial" w:cs="Arial"/>
        <w:sz w:val="16"/>
        <w:szCs w:val="16"/>
      </w:rPr>
      <w:tab/>
    </w:r>
    <w:r>
      <w:rPr>
        <w:rFonts w:ascii="Arial" w:hAnsi="Arial" w:cs="Arial"/>
        <w:sz w:val="16"/>
        <w:szCs w:val="16"/>
      </w:rPr>
      <w:tab/>
    </w:r>
    <w:r w:rsidRPr="00CB7070">
      <w:rPr>
        <w:rFonts w:ascii="Arial" w:hAnsi="Arial" w:cs="Arial"/>
        <w:color w:val="DA291C" w:themeColor="background2"/>
        <w:sz w:val="16"/>
        <w:szCs w:val="16"/>
      </w:rPr>
      <w:t xml:space="preserve">Page </w:t>
    </w:r>
    <w:r w:rsidRPr="00CB7070">
      <w:rPr>
        <w:rStyle w:val="PageNumber"/>
        <w:color w:val="DA291C" w:themeColor="background2"/>
        <w:szCs w:val="16"/>
      </w:rPr>
      <w:fldChar w:fldCharType="begin"/>
    </w:r>
    <w:r w:rsidRPr="00CB7070">
      <w:rPr>
        <w:rStyle w:val="PageNumber"/>
        <w:color w:val="DA291C" w:themeColor="background2"/>
        <w:szCs w:val="16"/>
      </w:rPr>
      <w:instrText xml:space="preserve"> PAGE </w:instrText>
    </w:r>
    <w:r w:rsidRPr="00CB7070">
      <w:rPr>
        <w:rStyle w:val="PageNumber"/>
        <w:color w:val="DA291C" w:themeColor="background2"/>
        <w:szCs w:val="16"/>
      </w:rPr>
      <w:fldChar w:fldCharType="separate"/>
    </w:r>
    <w:r w:rsidR="004D727B">
      <w:rPr>
        <w:rStyle w:val="PageNumber"/>
        <w:noProof/>
        <w:color w:val="DA291C" w:themeColor="background2"/>
        <w:szCs w:val="16"/>
      </w:rPr>
      <w:t>13</w:t>
    </w:r>
    <w:r w:rsidRPr="00CB7070">
      <w:rPr>
        <w:rStyle w:val="PageNumber"/>
        <w:color w:val="DA291C" w:themeColor="background2"/>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8E612" w14:textId="77777777" w:rsidR="007C5E8E" w:rsidRPr="004D45DD" w:rsidRDefault="007C5E8E" w:rsidP="004D45DD">
    <w:r>
      <w:rPr>
        <w:noProof/>
        <w:lang w:eastAsia="en-AU"/>
      </w:rPr>
      <w:drawing>
        <wp:anchor distT="0" distB="0" distL="114300" distR="114300" simplePos="0" relativeHeight="251689984" behindDoc="1" locked="1" layoutInCell="1" allowOverlap="1" wp14:anchorId="7CA1067A" wp14:editId="1ACBB6D8">
          <wp:simplePos x="0" y="0"/>
          <wp:positionH relativeFrom="column">
            <wp:posOffset>3175</wp:posOffset>
          </wp:positionH>
          <wp:positionV relativeFrom="paragraph">
            <wp:posOffset>-2904490</wp:posOffset>
          </wp:positionV>
          <wp:extent cx="1686560" cy="756920"/>
          <wp:effectExtent l="0" t="0" r="8890" b="5080"/>
          <wp:wrapNone/>
          <wp:docPr id="3" name="Pictur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560" cy="75692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47095" w14:textId="77777777" w:rsidR="004A62BD" w:rsidRDefault="004A62BD" w:rsidP="003B014D">
      <w:pPr>
        <w:spacing w:after="0" w:line="240" w:lineRule="auto"/>
      </w:pPr>
      <w:r>
        <w:separator/>
      </w:r>
    </w:p>
    <w:p w14:paraId="069FDC66" w14:textId="77777777" w:rsidR="004A62BD" w:rsidRDefault="004A62BD"/>
  </w:footnote>
  <w:footnote w:type="continuationSeparator" w:id="0">
    <w:p w14:paraId="787B3CE3" w14:textId="77777777" w:rsidR="004A62BD" w:rsidRDefault="004A62BD" w:rsidP="003B014D">
      <w:pPr>
        <w:spacing w:after="0" w:line="240" w:lineRule="auto"/>
      </w:pPr>
      <w:r>
        <w:continuationSeparator/>
      </w:r>
    </w:p>
    <w:p w14:paraId="2ADBBD30" w14:textId="77777777" w:rsidR="004A62BD" w:rsidRDefault="004A62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9129B" w14:textId="77777777" w:rsidR="007C5E8E" w:rsidRPr="00CE3E2D" w:rsidRDefault="007C5E8E" w:rsidP="00CE3E2D">
    <w:pPr>
      <w:pStyle w:val="Header"/>
    </w:pPr>
    <w:r w:rsidRPr="00CE3E2D">
      <w:t>DSS Safe Places Inclusion Round Consultation Findings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76D8" w14:textId="77777777" w:rsidR="007C5E8E" w:rsidRDefault="007C5E8E">
    <w:pPr>
      <w:pStyle w:val="Header"/>
    </w:pPr>
    <w:r>
      <w:rPr>
        <w:noProof/>
        <w:lang w:eastAsia="en-AU"/>
      </w:rPr>
      <w:drawing>
        <wp:anchor distT="0" distB="0" distL="114300" distR="114300" simplePos="0" relativeHeight="251696128" behindDoc="1" locked="1" layoutInCell="1" allowOverlap="1" wp14:anchorId="3C9DC1DD" wp14:editId="22F46D42">
          <wp:simplePos x="0" y="0"/>
          <wp:positionH relativeFrom="column">
            <wp:posOffset>-329565</wp:posOffset>
          </wp:positionH>
          <wp:positionV relativeFrom="paragraph">
            <wp:posOffset>9131300</wp:posOffset>
          </wp:positionV>
          <wp:extent cx="1687195" cy="756920"/>
          <wp:effectExtent l="0" t="0" r="8255" b="5080"/>
          <wp:wrapNone/>
          <wp:docPr id="10" name="Picture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195" cy="756920"/>
                  </a:xfrm>
                  <a:prstGeom prst="rect">
                    <a:avLst/>
                  </a:prstGeom>
                  <a:noFill/>
                  <a:ln>
                    <a:noFill/>
                  </a:ln>
                </pic:spPr>
              </pic:pic>
            </a:graphicData>
          </a:graphic>
        </wp:anchor>
      </w:drawing>
    </w:r>
    <w:r>
      <w:rPr>
        <w:noProof/>
        <w:lang w:eastAsia="en-AU"/>
      </w:rPr>
      <w:drawing>
        <wp:anchor distT="0" distB="0" distL="114300" distR="114300" simplePos="0" relativeHeight="251692032" behindDoc="1" locked="1" layoutInCell="1" allowOverlap="0" wp14:anchorId="5DC5A916" wp14:editId="0E7D2F95">
          <wp:simplePos x="0" y="0"/>
          <wp:positionH relativeFrom="column">
            <wp:posOffset>-4111625</wp:posOffset>
          </wp:positionH>
          <wp:positionV relativeFrom="paragraph">
            <wp:posOffset>950595</wp:posOffset>
          </wp:positionV>
          <wp:extent cx="12826800" cy="2772000"/>
          <wp:effectExtent l="57150" t="266700" r="70485" b="276225"/>
          <wp:wrapNone/>
          <wp:docPr id="11" name="Picture 1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21442517">
                    <a:off x="0" y="0"/>
                    <a:ext cx="12826800" cy="2772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1256D" w14:textId="77777777" w:rsidR="007C5E8E" w:rsidRDefault="007C5E8E" w:rsidP="00185950">
    <w:pPr>
      <w:pStyle w:val="Header"/>
    </w:pPr>
  </w:p>
  <w:p w14:paraId="0825B56C" w14:textId="77777777" w:rsidR="007C5E8E" w:rsidRPr="00C54EDA" w:rsidRDefault="007C5E8E" w:rsidP="00C54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5CFB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63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A625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0E3A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EC2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8EFB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4E4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B4CC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B6BE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8283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FFFFFFFF"/>
    <w:lvl w:ilvl="0">
      <w:start w:val="1"/>
      <w:numFmt w:val="decimal"/>
      <w:lvlText w:val="%1."/>
      <w:lvlJc w:val="left"/>
      <w:pPr>
        <w:ind w:left="680" w:hanging="340"/>
      </w:pPr>
    </w:lvl>
    <w:lvl w:ilvl="1">
      <w:start w:val="1"/>
      <w:numFmt w:val="decimal"/>
      <w:lvlText w:val="%2."/>
      <w:lvlJc w:val="left"/>
      <w:pPr>
        <w:ind w:left="1040" w:hanging="340"/>
      </w:pPr>
    </w:lvl>
    <w:lvl w:ilvl="2">
      <w:start w:val="1"/>
      <w:numFmt w:val="decimal"/>
      <w:lvlText w:val="%3."/>
      <w:lvlJc w:val="left"/>
      <w:pPr>
        <w:ind w:left="1400" w:hanging="340"/>
      </w:pPr>
    </w:lvl>
    <w:lvl w:ilvl="3">
      <w:start w:val="1"/>
      <w:numFmt w:val="decimal"/>
      <w:lvlText w:val="%4."/>
      <w:lvlJc w:val="left"/>
      <w:pPr>
        <w:ind w:left="1760" w:hanging="340"/>
      </w:pPr>
    </w:lvl>
    <w:lvl w:ilvl="4">
      <w:start w:val="1"/>
      <w:numFmt w:val="decimal"/>
      <w:lvlText w:val="%5."/>
      <w:lvlJc w:val="left"/>
      <w:pPr>
        <w:ind w:left="2120" w:hanging="340"/>
      </w:pPr>
    </w:lvl>
    <w:lvl w:ilvl="5">
      <w:start w:val="1"/>
      <w:numFmt w:val="decimal"/>
      <w:lvlText w:val="%6."/>
      <w:lvlJc w:val="left"/>
      <w:pPr>
        <w:ind w:left="2480" w:hanging="340"/>
      </w:pPr>
    </w:lvl>
    <w:lvl w:ilvl="6">
      <w:start w:val="1"/>
      <w:numFmt w:val="decimal"/>
      <w:lvlText w:val="%7."/>
      <w:lvlJc w:val="left"/>
      <w:pPr>
        <w:ind w:left="2840" w:hanging="340"/>
      </w:pPr>
    </w:lvl>
    <w:lvl w:ilvl="7">
      <w:start w:val="1"/>
      <w:numFmt w:val="decimal"/>
      <w:lvlText w:val="%8."/>
      <w:lvlJc w:val="left"/>
      <w:pPr>
        <w:ind w:left="3200" w:hanging="340"/>
      </w:pPr>
    </w:lvl>
    <w:lvl w:ilvl="8">
      <w:start w:val="1"/>
      <w:numFmt w:val="decimal"/>
      <w:lvlText w:val="%9."/>
      <w:lvlJc w:val="left"/>
      <w:pPr>
        <w:ind w:left="3560" w:hanging="340"/>
      </w:pPr>
    </w:lvl>
  </w:abstractNum>
  <w:abstractNum w:abstractNumId="11" w15:restartNumberingAfterBreak="0">
    <w:nsid w:val="02E11DBE"/>
    <w:multiLevelType w:val="hybridMultilevel"/>
    <w:tmpl w:val="49B405AE"/>
    <w:lvl w:ilvl="0" w:tplc="3D345300">
      <w:start w:val="1"/>
      <w:numFmt w:val="lowerLetter"/>
      <w:pStyle w:val="ListParagraph"/>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34B74D9"/>
    <w:multiLevelType w:val="hybridMultilevel"/>
    <w:tmpl w:val="D57ED6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E9204C"/>
    <w:multiLevelType w:val="multilevel"/>
    <w:tmpl w:val="4B405726"/>
    <w:numStyleLink w:val="CulperBulletList"/>
  </w:abstractNum>
  <w:abstractNum w:abstractNumId="14" w15:restartNumberingAfterBreak="0">
    <w:nsid w:val="0D232A79"/>
    <w:multiLevelType w:val="multilevel"/>
    <w:tmpl w:val="386A8580"/>
    <w:lvl w:ilvl="0">
      <w:start w:val="1"/>
      <w:numFmt w:val="decimal"/>
      <w:pStyle w:val="Heading1"/>
      <w:lvlText w:val="%1."/>
      <w:lvlJc w:val="left"/>
      <w:pPr>
        <w:ind w:left="227" w:hanging="227"/>
      </w:pPr>
      <w:rPr>
        <w:rFonts w:ascii="Koblenz Serial Medium" w:hAnsi="Koblenz Serial Medium" w:hint="default"/>
        <w:b w:val="0"/>
        <w:i w:val="0"/>
        <w:color w:val="DA291C" w:themeColor="background2"/>
        <w:w w:val="100"/>
        <w:position w:val="-2"/>
        <w:sz w:val="64"/>
        <w:vertAlign w:val="baseline"/>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hint="default"/>
        <w:b w:val="0"/>
        <w:color w:val="DA291C" w:themeColor="background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135265E0"/>
    <w:multiLevelType w:val="hybridMultilevel"/>
    <w:tmpl w:val="3D8216EC"/>
    <w:lvl w:ilvl="0" w:tplc="C7D83BE0">
      <w:start w:val="1"/>
      <w:numFmt w:val="bullet"/>
      <w:lvlText w:val=""/>
      <w:lvlJc w:val="left"/>
      <w:pPr>
        <w:ind w:left="1060" w:hanging="360"/>
      </w:pPr>
      <w:rPr>
        <w:rFonts w:ascii="Symbol" w:hAnsi="Symbol"/>
      </w:rPr>
    </w:lvl>
    <w:lvl w:ilvl="1" w:tplc="5B5C36AE">
      <w:start w:val="1"/>
      <w:numFmt w:val="bullet"/>
      <w:lvlText w:val=""/>
      <w:lvlJc w:val="left"/>
      <w:pPr>
        <w:ind w:left="1060" w:hanging="360"/>
      </w:pPr>
      <w:rPr>
        <w:rFonts w:ascii="Symbol" w:hAnsi="Symbol"/>
      </w:rPr>
    </w:lvl>
    <w:lvl w:ilvl="2" w:tplc="239455A4">
      <w:start w:val="1"/>
      <w:numFmt w:val="bullet"/>
      <w:lvlText w:val=""/>
      <w:lvlJc w:val="left"/>
      <w:pPr>
        <w:ind w:left="1060" w:hanging="360"/>
      </w:pPr>
      <w:rPr>
        <w:rFonts w:ascii="Symbol" w:hAnsi="Symbol"/>
      </w:rPr>
    </w:lvl>
    <w:lvl w:ilvl="3" w:tplc="07B88C1A">
      <w:start w:val="1"/>
      <w:numFmt w:val="bullet"/>
      <w:lvlText w:val=""/>
      <w:lvlJc w:val="left"/>
      <w:pPr>
        <w:ind w:left="1060" w:hanging="360"/>
      </w:pPr>
      <w:rPr>
        <w:rFonts w:ascii="Symbol" w:hAnsi="Symbol"/>
      </w:rPr>
    </w:lvl>
    <w:lvl w:ilvl="4" w:tplc="686A4014">
      <w:start w:val="1"/>
      <w:numFmt w:val="bullet"/>
      <w:lvlText w:val=""/>
      <w:lvlJc w:val="left"/>
      <w:pPr>
        <w:ind w:left="1060" w:hanging="360"/>
      </w:pPr>
      <w:rPr>
        <w:rFonts w:ascii="Symbol" w:hAnsi="Symbol"/>
      </w:rPr>
    </w:lvl>
    <w:lvl w:ilvl="5" w:tplc="AFBC430A">
      <w:start w:val="1"/>
      <w:numFmt w:val="bullet"/>
      <w:lvlText w:val=""/>
      <w:lvlJc w:val="left"/>
      <w:pPr>
        <w:ind w:left="1060" w:hanging="360"/>
      </w:pPr>
      <w:rPr>
        <w:rFonts w:ascii="Symbol" w:hAnsi="Symbol"/>
      </w:rPr>
    </w:lvl>
    <w:lvl w:ilvl="6" w:tplc="2FA8C3AC">
      <w:start w:val="1"/>
      <w:numFmt w:val="bullet"/>
      <w:lvlText w:val=""/>
      <w:lvlJc w:val="left"/>
      <w:pPr>
        <w:ind w:left="1060" w:hanging="360"/>
      </w:pPr>
      <w:rPr>
        <w:rFonts w:ascii="Symbol" w:hAnsi="Symbol"/>
      </w:rPr>
    </w:lvl>
    <w:lvl w:ilvl="7" w:tplc="1A209238">
      <w:start w:val="1"/>
      <w:numFmt w:val="bullet"/>
      <w:lvlText w:val=""/>
      <w:lvlJc w:val="left"/>
      <w:pPr>
        <w:ind w:left="1060" w:hanging="360"/>
      </w:pPr>
      <w:rPr>
        <w:rFonts w:ascii="Symbol" w:hAnsi="Symbol"/>
      </w:rPr>
    </w:lvl>
    <w:lvl w:ilvl="8" w:tplc="EAA66CB4">
      <w:start w:val="1"/>
      <w:numFmt w:val="bullet"/>
      <w:lvlText w:val=""/>
      <w:lvlJc w:val="left"/>
      <w:pPr>
        <w:ind w:left="1060" w:hanging="360"/>
      </w:pPr>
      <w:rPr>
        <w:rFonts w:ascii="Symbol" w:hAnsi="Symbol"/>
      </w:rPr>
    </w:lvl>
  </w:abstractNum>
  <w:abstractNum w:abstractNumId="16" w15:restartNumberingAfterBreak="0">
    <w:nsid w:val="17C773D6"/>
    <w:multiLevelType w:val="multilevel"/>
    <w:tmpl w:val="4B405726"/>
    <w:styleLink w:val="CulperBulletList"/>
    <w:lvl w:ilvl="0">
      <w:start w:val="1"/>
      <w:numFmt w:val="bullet"/>
      <w:pStyle w:val="Bulletlist"/>
      <w:lvlText w:val=""/>
      <w:lvlJc w:val="left"/>
      <w:pPr>
        <w:ind w:left="340" w:hanging="340"/>
      </w:pPr>
      <w:rPr>
        <w:rFonts w:ascii="Wingdings 2" w:hAnsi="Wingdings 2" w:hint="default"/>
        <w:b w:val="0"/>
        <w:i w:val="0"/>
        <w:color w:val="DA291C" w:themeColor="background2"/>
        <w:sz w:val="24"/>
      </w:rPr>
    </w:lvl>
    <w:lvl w:ilvl="1">
      <w:start w:val="1"/>
      <w:numFmt w:val="bullet"/>
      <w:lvlText w:val=""/>
      <w:lvlJc w:val="left"/>
      <w:pPr>
        <w:ind w:left="680" w:hanging="340"/>
      </w:pPr>
      <w:rPr>
        <w:rFonts w:ascii="Symbol" w:hAnsi="Symbol" w:hint="default"/>
        <w:color w:val="787878" w:themeColor="text2"/>
      </w:rPr>
    </w:lvl>
    <w:lvl w:ilvl="2">
      <w:start w:val="1"/>
      <w:numFmt w:val="bullet"/>
      <w:lvlText w:val=""/>
      <w:lvlJc w:val="left"/>
      <w:pPr>
        <w:ind w:left="1021" w:hanging="341"/>
      </w:pPr>
      <w:rPr>
        <w:rFonts w:ascii="Wingdings" w:hAnsi="Wingdings" w:hint="default"/>
        <w:color w:val="DA291C" w:themeColor="background2"/>
        <w:u w:color="787878"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79743B"/>
    <w:multiLevelType w:val="multilevel"/>
    <w:tmpl w:val="38F46CD2"/>
    <w:styleLink w:val="CurrentList1"/>
    <w:lvl w:ilvl="0">
      <w:start w:val="1"/>
      <w:numFmt w:val="bullet"/>
      <w:lvlText w:val=""/>
      <w:lvlJc w:val="left"/>
      <w:pPr>
        <w:ind w:left="360" w:hanging="360"/>
      </w:pPr>
      <w:rPr>
        <w:rFonts w:ascii="Symbol" w:hAnsi="Symbol" w:hint="default"/>
        <w:b w:val="0"/>
        <w:i w:val="0"/>
        <w:color w:val="7E5749" w:themeColor="accent2"/>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1467C2"/>
    <w:multiLevelType w:val="multilevel"/>
    <w:tmpl w:val="9754D974"/>
    <w:lvl w:ilvl="0">
      <w:start w:val="1"/>
      <w:numFmt w:val="bullet"/>
      <w:pStyle w:val="2ndlevelbullet"/>
      <w:lvlText w:val=""/>
      <w:lvlJc w:val="left"/>
      <w:pPr>
        <w:ind w:left="1069" w:hanging="360"/>
      </w:pPr>
      <w:rPr>
        <w:rFonts w:ascii="Symbol" w:hAnsi="Symbol" w:cs="Symbol" w:hint="default"/>
        <w:b w:val="0"/>
        <w:i w:val="0"/>
        <w:color w:val="000000" w:themeColor="text1"/>
        <w:sz w:val="20"/>
        <w:szCs w:val="2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262A5B5C"/>
    <w:multiLevelType w:val="hybridMultilevel"/>
    <w:tmpl w:val="5CA8153E"/>
    <w:lvl w:ilvl="0" w:tplc="2EAE5348">
      <w:numFmt w:val="bullet"/>
      <w:lvlText w:val="-"/>
      <w:lvlJc w:val="left"/>
      <w:pPr>
        <w:ind w:left="720" w:hanging="360"/>
      </w:pPr>
      <w:rPr>
        <w:rFonts w:ascii="Univers Com 45 Light" w:eastAsia="Century Gothic" w:hAnsi="Univers Com 45 Light" w:cs="Century 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C50CAA"/>
    <w:multiLevelType w:val="hybridMultilevel"/>
    <w:tmpl w:val="070E1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F6F66BF"/>
    <w:multiLevelType w:val="multilevel"/>
    <w:tmpl w:val="4B405726"/>
    <w:numStyleLink w:val="CulperBulletList"/>
  </w:abstractNum>
  <w:abstractNum w:abstractNumId="22" w15:restartNumberingAfterBreak="0">
    <w:nsid w:val="37753BCA"/>
    <w:multiLevelType w:val="hybridMultilevel"/>
    <w:tmpl w:val="DAF8E1BC"/>
    <w:lvl w:ilvl="0" w:tplc="0C090019">
      <w:start w:val="1"/>
      <w:numFmt w:val="lowerLetter"/>
      <w:lvlText w:val="%1."/>
      <w:lvlJc w:val="left"/>
      <w:pPr>
        <w:ind w:left="1840" w:hanging="360"/>
      </w:pPr>
    </w:lvl>
    <w:lvl w:ilvl="1" w:tplc="0C090019">
      <w:start w:val="1"/>
      <w:numFmt w:val="lowerLetter"/>
      <w:lvlText w:val="%2."/>
      <w:lvlJc w:val="left"/>
      <w:pPr>
        <w:ind w:left="2560" w:hanging="360"/>
      </w:pPr>
    </w:lvl>
    <w:lvl w:ilvl="2" w:tplc="0C09001B" w:tentative="1">
      <w:start w:val="1"/>
      <w:numFmt w:val="lowerRoman"/>
      <w:lvlText w:val="%3."/>
      <w:lvlJc w:val="right"/>
      <w:pPr>
        <w:ind w:left="3280" w:hanging="180"/>
      </w:pPr>
    </w:lvl>
    <w:lvl w:ilvl="3" w:tplc="0C09000F" w:tentative="1">
      <w:start w:val="1"/>
      <w:numFmt w:val="decimal"/>
      <w:lvlText w:val="%4."/>
      <w:lvlJc w:val="left"/>
      <w:pPr>
        <w:ind w:left="4000" w:hanging="360"/>
      </w:pPr>
    </w:lvl>
    <w:lvl w:ilvl="4" w:tplc="0C090019" w:tentative="1">
      <w:start w:val="1"/>
      <w:numFmt w:val="lowerLetter"/>
      <w:lvlText w:val="%5."/>
      <w:lvlJc w:val="left"/>
      <w:pPr>
        <w:ind w:left="4720" w:hanging="360"/>
      </w:pPr>
    </w:lvl>
    <w:lvl w:ilvl="5" w:tplc="0C09001B" w:tentative="1">
      <w:start w:val="1"/>
      <w:numFmt w:val="lowerRoman"/>
      <w:lvlText w:val="%6."/>
      <w:lvlJc w:val="right"/>
      <w:pPr>
        <w:ind w:left="5440" w:hanging="180"/>
      </w:pPr>
    </w:lvl>
    <w:lvl w:ilvl="6" w:tplc="0C09000F" w:tentative="1">
      <w:start w:val="1"/>
      <w:numFmt w:val="decimal"/>
      <w:lvlText w:val="%7."/>
      <w:lvlJc w:val="left"/>
      <w:pPr>
        <w:ind w:left="6160" w:hanging="360"/>
      </w:pPr>
    </w:lvl>
    <w:lvl w:ilvl="7" w:tplc="0C090019" w:tentative="1">
      <w:start w:val="1"/>
      <w:numFmt w:val="lowerLetter"/>
      <w:lvlText w:val="%8."/>
      <w:lvlJc w:val="left"/>
      <w:pPr>
        <w:ind w:left="6880" w:hanging="360"/>
      </w:pPr>
    </w:lvl>
    <w:lvl w:ilvl="8" w:tplc="0C09001B" w:tentative="1">
      <w:start w:val="1"/>
      <w:numFmt w:val="lowerRoman"/>
      <w:lvlText w:val="%9."/>
      <w:lvlJc w:val="right"/>
      <w:pPr>
        <w:ind w:left="7600" w:hanging="180"/>
      </w:pPr>
    </w:lvl>
  </w:abstractNum>
  <w:abstractNum w:abstractNumId="23" w15:restartNumberingAfterBreak="0">
    <w:nsid w:val="3A1915CA"/>
    <w:multiLevelType w:val="hybridMultilevel"/>
    <w:tmpl w:val="38F46CD2"/>
    <w:lvl w:ilvl="0" w:tplc="4B66F64A">
      <w:start w:val="1"/>
      <w:numFmt w:val="bullet"/>
      <w:lvlText w:val=""/>
      <w:lvlJc w:val="left"/>
      <w:pPr>
        <w:ind w:left="360" w:hanging="360"/>
      </w:pPr>
      <w:rPr>
        <w:rFonts w:ascii="Symbol" w:hAnsi="Symbol" w:hint="default"/>
        <w:b w:val="0"/>
        <w:i w:val="0"/>
        <w:color w:val="7E5749" w:themeColor="accent2"/>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F616C1"/>
    <w:multiLevelType w:val="hybridMultilevel"/>
    <w:tmpl w:val="57745400"/>
    <w:lvl w:ilvl="0" w:tplc="0C09000F">
      <w:start w:val="1"/>
      <w:numFmt w:val="decimal"/>
      <w:lvlText w:val="%1."/>
      <w:lvlJc w:val="left"/>
      <w:pPr>
        <w:ind w:left="1060" w:hanging="360"/>
      </w:pPr>
    </w:lvl>
    <w:lvl w:ilvl="1" w:tplc="0C090019">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5" w15:restartNumberingAfterBreak="0">
    <w:nsid w:val="464630A5"/>
    <w:multiLevelType w:val="hybridMultilevel"/>
    <w:tmpl w:val="BF02494C"/>
    <w:lvl w:ilvl="0" w:tplc="B316F0C0">
      <w:start w:val="527"/>
      <w:numFmt w:val="bullet"/>
      <w:lvlText w:val="-"/>
      <w:lvlJc w:val="left"/>
      <w:pPr>
        <w:ind w:left="720" w:hanging="360"/>
      </w:pPr>
      <w:rPr>
        <w:rFonts w:ascii="Univers Com 45 Light" w:eastAsia="Century Gothic" w:hAnsi="Univers Com 45 Light" w:cs="Century 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EF65E7"/>
    <w:multiLevelType w:val="multilevel"/>
    <w:tmpl w:val="8CFE5026"/>
    <w:styleLink w:val="CulperNumberedList"/>
    <w:lvl w:ilvl="0">
      <w:start w:val="1"/>
      <w:numFmt w:val="upperLetter"/>
      <w:pStyle w:val="NumberedList"/>
      <w:lvlText w:val="%1."/>
      <w:lvlJc w:val="left"/>
      <w:pPr>
        <w:ind w:left="340" w:hanging="340"/>
      </w:pPr>
      <w:rPr>
        <w:rFonts w:asciiTheme="minorHAnsi" w:hAnsiTheme="minorHAnsi" w:hint="default"/>
        <w:b/>
        <w:i w:val="0"/>
        <w:color w:val="DA291C" w:themeColor="background2"/>
        <w:sz w:val="22"/>
      </w:rPr>
    </w:lvl>
    <w:lvl w:ilvl="1">
      <w:start w:val="1"/>
      <w:numFmt w:val="lowerRoman"/>
      <w:lvlText w:val="%2."/>
      <w:lvlJc w:val="left"/>
      <w:pPr>
        <w:ind w:left="680" w:hanging="340"/>
      </w:pPr>
      <w:rPr>
        <w:rFonts w:hint="default"/>
        <w:color w:val="787878" w:themeColor="text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04476A1"/>
    <w:multiLevelType w:val="hybridMultilevel"/>
    <w:tmpl w:val="8744D166"/>
    <w:lvl w:ilvl="0" w:tplc="0C09000F">
      <w:start w:val="1"/>
      <w:numFmt w:val="decimal"/>
      <w:lvlText w:val="%1."/>
      <w:lvlJc w:val="left"/>
      <w:pPr>
        <w:ind w:left="1120" w:hanging="360"/>
      </w:pPr>
    </w:lvl>
    <w:lvl w:ilvl="1" w:tplc="0C090019">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28" w15:restartNumberingAfterBreak="0">
    <w:nsid w:val="572D211C"/>
    <w:multiLevelType w:val="multilevel"/>
    <w:tmpl w:val="E70A21BA"/>
    <w:styleLink w:val="Style1"/>
    <w:lvl w:ilvl="0">
      <w:start w:val="1"/>
      <w:numFmt w:val="bullet"/>
      <w:lvlText w:val=""/>
      <w:lvlJc w:val="left"/>
      <w:pPr>
        <w:ind w:left="340" w:hanging="340"/>
      </w:pPr>
      <w:rPr>
        <w:rFonts w:ascii="Symbol" w:hAnsi="Symbol" w:hint="default"/>
        <w:b w:val="0"/>
        <w:i w:val="0"/>
        <w:color w:val="787878" w:themeColor="text2"/>
        <w:sz w:val="20"/>
      </w:rPr>
    </w:lvl>
    <w:lvl w:ilvl="1">
      <w:start w:val="1"/>
      <w:numFmt w:val="bullet"/>
      <w:lvlText w:val="&gt;"/>
      <w:lvlJc w:val="left"/>
      <w:pPr>
        <w:ind w:left="680" w:hanging="340"/>
      </w:pPr>
      <w:rPr>
        <w:rFonts w:ascii="Century Gothic" w:hAnsi="Century Gothic" w:hint="default"/>
        <w:color w:val="787878" w:themeColor="text2"/>
        <w:sz w:val="20"/>
      </w:rPr>
    </w:lvl>
    <w:lvl w:ilvl="2">
      <w:start w:val="1"/>
      <w:numFmt w:val="bullet"/>
      <w:lvlText w:val=""/>
      <w:lvlJc w:val="left"/>
      <w:pPr>
        <w:ind w:left="1020" w:hanging="340"/>
      </w:pPr>
      <w:rPr>
        <w:rFonts w:ascii="Wingdings" w:hAnsi="Wingdings" w:hint="default"/>
        <w:color w:val="787878" w:themeColor="text2"/>
        <w:sz w:val="20"/>
      </w:rPr>
    </w:lvl>
    <w:lvl w:ilvl="3">
      <w:start w:val="1"/>
      <w:numFmt w:val="bullet"/>
      <w:lvlText w:val=""/>
      <w:lvlJc w:val="left"/>
      <w:pPr>
        <w:ind w:left="1360" w:hanging="340"/>
      </w:pPr>
      <w:rPr>
        <w:rFonts w:ascii="Symbol" w:hAnsi="Symbol" w:hint="default"/>
        <w:color w:val="787878" w:themeColor="text2"/>
      </w:rPr>
    </w:lvl>
    <w:lvl w:ilvl="4">
      <w:start w:val="1"/>
      <w:numFmt w:val="bullet"/>
      <w:lvlText w:val="–"/>
      <w:lvlJc w:val="left"/>
      <w:pPr>
        <w:ind w:left="1700" w:hanging="340"/>
      </w:pPr>
      <w:rPr>
        <w:rFonts w:ascii="Century Gothic" w:hAnsi="Century Gothic" w:hint="default"/>
        <w:color w:val="787878" w:themeColor="text2"/>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num w:numId="1">
    <w:abstractNumId w:val="28"/>
  </w:num>
  <w:num w:numId="2">
    <w:abstractNumId w:val="14"/>
  </w:num>
  <w:num w:numId="3">
    <w:abstractNumId w:val="21"/>
  </w:num>
  <w:num w:numId="4">
    <w:abstractNumId w:val="16"/>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1"/>
  </w:num>
  <w:num w:numId="9">
    <w:abstractNumId w:val="20"/>
  </w:num>
  <w:num w:numId="10">
    <w:abstractNumId w:val="10"/>
  </w:num>
  <w:num w:numId="11">
    <w:abstractNumId w:val="24"/>
  </w:num>
  <w:num w:numId="12">
    <w:abstractNumId w:val="26"/>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26"/>
  </w:num>
  <w:num w:numId="20">
    <w:abstractNumId w:val="26"/>
  </w:num>
  <w:num w:numId="21">
    <w:abstractNumId w:val="26"/>
  </w:num>
  <w:num w:numId="22">
    <w:abstractNumId w:val="12"/>
  </w:num>
  <w:num w:numId="23">
    <w:abstractNumId w:val="26"/>
  </w:num>
  <w:num w:numId="24">
    <w:abstractNumId w:val="26"/>
  </w:num>
  <w:num w:numId="25">
    <w:abstractNumId w:val="26"/>
  </w:num>
  <w:num w:numId="26">
    <w:abstractNumId w:val="26"/>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1"/>
  </w:num>
  <w:num w:numId="34">
    <w:abstractNumId w:val="21"/>
  </w:num>
  <w:num w:numId="35">
    <w:abstractNumId w:val="21"/>
  </w:num>
  <w:num w:numId="36">
    <w:abstractNumId w:val="21"/>
  </w:num>
  <w:num w:numId="37">
    <w:abstractNumId w:val="23"/>
  </w:num>
  <w:num w:numId="38">
    <w:abstractNumId w:val="18"/>
  </w:num>
  <w:num w:numId="39">
    <w:abstractNumId w:val="27"/>
  </w:num>
  <w:num w:numId="40">
    <w:abstractNumId w:val="22"/>
  </w:num>
  <w:num w:numId="41">
    <w:abstractNumId w:val="21"/>
  </w:num>
  <w:num w:numId="42">
    <w:abstractNumId w:val="15"/>
  </w:num>
  <w:num w:numId="43">
    <w:abstractNumId w:val="19"/>
  </w:num>
  <w:num w:numId="44">
    <w:abstractNumId w:val="21"/>
  </w:num>
  <w:num w:numId="45">
    <w:abstractNumId w:val="21"/>
  </w:num>
  <w:num w:numId="46">
    <w:abstractNumId w:val="25"/>
  </w:num>
  <w:num w:numId="47">
    <w:abstractNumId w:val="14"/>
  </w:num>
  <w:num w:numId="48">
    <w:abstractNumId w:val="14"/>
  </w:num>
  <w:num w:numId="49">
    <w:abstractNumId w:val="9"/>
  </w:num>
  <w:num w:numId="50">
    <w:abstractNumId w:val="7"/>
  </w:num>
  <w:num w:numId="51">
    <w:abstractNumId w:val="6"/>
  </w:num>
  <w:num w:numId="52">
    <w:abstractNumId w:val="5"/>
  </w:num>
  <w:num w:numId="53">
    <w:abstractNumId w:val="4"/>
  </w:num>
  <w:num w:numId="54">
    <w:abstractNumId w:val="8"/>
  </w:num>
  <w:num w:numId="55">
    <w:abstractNumId w:val="3"/>
  </w:num>
  <w:num w:numId="56">
    <w:abstractNumId w:val="2"/>
  </w:num>
  <w:num w:numId="57">
    <w:abstractNumId w:val="1"/>
  </w:num>
  <w:num w:numId="58">
    <w:abstractNumId w:val="0"/>
  </w:num>
  <w:num w:numId="59">
    <w:abstractNumId w:val="2"/>
  </w:num>
  <w:num w:numId="60">
    <w:abstractNumId w:val="1"/>
  </w:num>
  <w:num w:numId="61">
    <w:abstractNumId w:val="0"/>
  </w:num>
  <w:num w:numId="62">
    <w:abstractNumId w:val="9"/>
  </w:num>
  <w:num w:numId="63">
    <w:abstractNumId w:val="7"/>
  </w:num>
  <w:num w:numId="64">
    <w:abstractNumId w:val="6"/>
  </w:num>
  <w:num w:numId="65">
    <w:abstractNumId w:val="5"/>
  </w:num>
  <w:num w:numId="66">
    <w:abstractNumId w:val="4"/>
  </w:num>
  <w:num w:numId="67">
    <w:abstractNumId w:val="8"/>
  </w:num>
  <w:num w:numId="68">
    <w:abstractNumId w:val="3"/>
  </w:num>
  <w:num w:numId="69">
    <w:abstractNumId w:val="9"/>
  </w:num>
  <w:num w:numId="70">
    <w:abstractNumId w:val="7"/>
  </w:num>
  <w:num w:numId="71">
    <w:abstractNumId w:val="6"/>
  </w:num>
  <w:num w:numId="72">
    <w:abstractNumId w:val="5"/>
  </w:num>
  <w:num w:numId="73">
    <w:abstractNumId w:val="4"/>
  </w:num>
  <w:num w:numId="74">
    <w:abstractNumId w:val="8"/>
  </w:num>
  <w:num w:numId="75">
    <w:abstractNumId w:val="3"/>
  </w:num>
  <w:num w:numId="76">
    <w:abstractNumId w:val="2"/>
  </w:num>
  <w:num w:numId="77">
    <w:abstractNumId w:val="1"/>
  </w:num>
  <w:num w:numId="78">
    <w:abstractNumId w:val="0"/>
  </w:num>
  <w:num w:numId="79">
    <w:abstractNumId w:val="5"/>
  </w:num>
  <w:num w:numId="80">
    <w:abstractNumId w:val="4"/>
  </w:num>
  <w:num w:numId="81">
    <w:abstractNumId w:val="8"/>
  </w:num>
  <w:num w:numId="82">
    <w:abstractNumId w:val="3"/>
  </w:num>
  <w:num w:numId="83">
    <w:abstractNumId w:val="2"/>
  </w:num>
  <w:num w:numId="84">
    <w:abstractNumId w:val="1"/>
  </w:num>
  <w:num w:numId="85">
    <w:abstractNumId w:val="0"/>
  </w:num>
  <w:num w:numId="86">
    <w:abstractNumId w:val="6"/>
  </w:num>
  <w:num w:numId="87">
    <w:abstractNumId w:val="7"/>
  </w:num>
  <w:num w:numId="88">
    <w:abstractNumId w:val="9"/>
  </w:num>
  <w:num w:numId="89">
    <w:abstractNumId w:val="21"/>
  </w:num>
  <w:num w:numId="90">
    <w:abstractNumId w:val="13"/>
  </w:num>
  <w:num w:numId="91">
    <w:abstractNumId w:val="1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oNotTrackMoves/>
  <w:documentProtection w:edit="readOnly" w:enforcement="1" w:spinCount="100000" w:hashValue="j8uBu/m/iP00dHzjqNgc3MziOzEFGC+Tg8yFAAeFSi0mKCGWD+bT0JPPImgLniiy31Z6sUkmWJqigvg69+9xNQ==" w:saltValue="A+96kW+ubqEry03iTFH7yA==" w:algorithmName="SHA-5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zMjI3NjO2MDE1NjdQ0lEKTi0uzszPAykwrAUAr0bGHiwAAAA="/>
  </w:docVars>
  <w:rsids>
    <w:rsidRoot w:val="003A141E"/>
    <w:rsid w:val="000007F4"/>
    <w:rsid w:val="00000BBF"/>
    <w:rsid w:val="00001295"/>
    <w:rsid w:val="0000159D"/>
    <w:rsid w:val="00001690"/>
    <w:rsid w:val="00005ED2"/>
    <w:rsid w:val="00005FD6"/>
    <w:rsid w:val="00005FDB"/>
    <w:rsid w:val="0000741B"/>
    <w:rsid w:val="000077E7"/>
    <w:rsid w:val="00010F03"/>
    <w:rsid w:val="0001389E"/>
    <w:rsid w:val="00014A4F"/>
    <w:rsid w:val="000175AD"/>
    <w:rsid w:val="00017A05"/>
    <w:rsid w:val="00020D3E"/>
    <w:rsid w:val="00022855"/>
    <w:rsid w:val="00023D53"/>
    <w:rsid w:val="00026545"/>
    <w:rsid w:val="00030113"/>
    <w:rsid w:val="0003123D"/>
    <w:rsid w:val="00031360"/>
    <w:rsid w:val="0003191A"/>
    <w:rsid w:val="00032109"/>
    <w:rsid w:val="00032F62"/>
    <w:rsid w:val="00033946"/>
    <w:rsid w:val="00037ABC"/>
    <w:rsid w:val="00037B82"/>
    <w:rsid w:val="00040852"/>
    <w:rsid w:val="000414DA"/>
    <w:rsid w:val="00041731"/>
    <w:rsid w:val="00044431"/>
    <w:rsid w:val="00044A8D"/>
    <w:rsid w:val="00050BFF"/>
    <w:rsid w:val="00050C47"/>
    <w:rsid w:val="00051BFE"/>
    <w:rsid w:val="0005241A"/>
    <w:rsid w:val="000608F9"/>
    <w:rsid w:val="00060A45"/>
    <w:rsid w:val="00060B8B"/>
    <w:rsid w:val="000613AE"/>
    <w:rsid w:val="00061EB2"/>
    <w:rsid w:val="0006407E"/>
    <w:rsid w:val="000667BA"/>
    <w:rsid w:val="0007066C"/>
    <w:rsid w:val="0007308B"/>
    <w:rsid w:val="00073B0B"/>
    <w:rsid w:val="00073F77"/>
    <w:rsid w:val="00074A95"/>
    <w:rsid w:val="0007747B"/>
    <w:rsid w:val="0008149D"/>
    <w:rsid w:val="00081BF8"/>
    <w:rsid w:val="00082AFE"/>
    <w:rsid w:val="000835D9"/>
    <w:rsid w:val="000864B5"/>
    <w:rsid w:val="00086CAB"/>
    <w:rsid w:val="00086F65"/>
    <w:rsid w:val="00092347"/>
    <w:rsid w:val="00093DFD"/>
    <w:rsid w:val="00094BE0"/>
    <w:rsid w:val="000A16FE"/>
    <w:rsid w:val="000A2E40"/>
    <w:rsid w:val="000A5115"/>
    <w:rsid w:val="000A6C9D"/>
    <w:rsid w:val="000A74E9"/>
    <w:rsid w:val="000A765F"/>
    <w:rsid w:val="000B1C26"/>
    <w:rsid w:val="000B443D"/>
    <w:rsid w:val="000B7084"/>
    <w:rsid w:val="000C0469"/>
    <w:rsid w:val="000C22B6"/>
    <w:rsid w:val="000C371B"/>
    <w:rsid w:val="000C38D8"/>
    <w:rsid w:val="000C4887"/>
    <w:rsid w:val="000C614D"/>
    <w:rsid w:val="000D089F"/>
    <w:rsid w:val="000D0AD8"/>
    <w:rsid w:val="000D103E"/>
    <w:rsid w:val="000D226E"/>
    <w:rsid w:val="000D4543"/>
    <w:rsid w:val="000D5D71"/>
    <w:rsid w:val="000E24FE"/>
    <w:rsid w:val="000E4521"/>
    <w:rsid w:val="000E53D5"/>
    <w:rsid w:val="000E6BCE"/>
    <w:rsid w:val="000E72F3"/>
    <w:rsid w:val="000E7AF6"/>
    <w:rsid w:val="000F3E51"/>
    <w:rsid w:val="000F4F02"/>
    <w:rsid w:val="000F69F4"/>
    <w:rsid w:val="000F6C18"/>
    <w:rsid w:val="000F72F3"/>
    <w:rsid w:val="0010295F"/>
    <w:rsid w:val="001030B1"/>
    <w:rsid w:val="00103B1F"/>
    <w:rsid w:val="0010779D"/>
    <w:rsid w:val="00107DE9"/>
    <w:rsid w:val="00110936"/>
    <w:rsid w:val="00110B0F"/>
    <w:rsid w:val="00111C52"/>
    <w:rsid w:val="0011266F"/>
    <w:rsid w:val="00113041"/>
    <w:rsid w:val="0011670C"/>
    <w:rsid w:val="0012231E"/>
    <w:rsid w:val="00124A7D"/>
    <w:rsid w:val="001275EB"/>
    <w:rsid w:val="001275F3"/>
    <w:rsid w:val="00127F3C"/>
    <w:rsid w:val="00131E3C"/>
    <w:rsid w:val="001343FB"/>
    <w:rsid w:val="001366EF"/>
    <w:rsid w:val="00137344"/>
    <w:rsid w:val="00142E81"/>
    <w:rsid w:val="001475D6"/>
    <w:rsid w:val="0016128B"/>
    <w:rsid w:val="001630B4"/>
    <w:rsid w:val="00164BFD"/>
    <w:rsid w:val="001651A5"/>
    <w:rsid w:val="00165EB7"/>
    <w:rsid w:val="00165F43"/>
    <w:rsid w:val="00167256"/>
    <w:rsid w:val="001674BE"/>
    <w:rsid w:val="001702D1"/>
    <w:rsid w:val="00170856"/>
    <w:rsid w:val="0017127F"/>
    <w:rsid w:val="001712E1"/>
    <w:rsid w:val="00171A11"/>
    <w:rsid w:val="00174783"/>
    <w:rsid w:val="00176829"/>
    <w:rsid w:val="0018140F"/>
    <w:rsid w:val="00182893"/>
    <w:rsid w:val="00182A24"/>
    <w:rsid w:val="00185950"/>
    <w:rsid w:val="00185FA3"/>
    <w:rsid w:val="00186C2A"/>
    <w:rsid w:val="0018789A"/>
    <w:rsid w:val="00194042"/>
    <w:rsid w:val="00194815"/>
    <w:rsid w:val="00194BCE"/>
    <w:rsid w:val="00195867"/>
    <w:rsid w:val="00195A4E"/>
    <w:rsid w:val="00195DF6"/>
    <w:rsid w:val="001960B6"/>
    <w:rsid w:val="001963F6"/>
    <w:rsid w:val="001970AA"/>
    <w:rsid w:val="001970DC"/>
    <w:rsid w:val="001A0749"/>
    <w:rsid w:val="001A25A6"/>
    <w:rsid w:val="001A300F"/>
    <w:rsid w:val="001A547A"/>
    <w:rsid w:val="001B44C1"/>
    <w:rsid w:val="001B53B6"/>
    <w:rsid w:val="001B6B3B"/>
    <w:rsid w:val="001B712E"/>
    <w:rsid w:val="001C21E4"/>
    <w:rsid w:val="001C3A47"/>
    <w:rsid w:val="001C3AA1"/>
    <w:rsid w:val="001C3AD9"/>
    <w:rsid w:val="001C3B4E"/>
    <w:rsid w:val="001C4D92"/>
    <w:rsid w:val="001C5492"/>
    <w:rsid w:val="001C5E13"/>
    <w:rsid w:val="001C6D29"/>
    <w:rsid w:val="001D1DBD"/>
    <w:rsid w:val="001D486C"/>
    <w:rsid w:val="001D59BC"/>
    <w:rsid w:val="001D6CCD"/>
    <w:rsid w:val="001D7007"/>
    <w:rsid w:val="001E04F1"/>
    <w:rsid w:val="001E1C64"/>
    <w:rsid w:val="001E2FF2"/>
    <w:rsid w:val="001E3CC5"/>
    <w:rsid w:val="001E55A9"/>
    <w:rsid w:val="001E7C25"/>
    <w:rsid w:val="001F1165"/>
    <w:rsid w:val="001F4C60"/>
    <w:rsid w:val="001F57F0"/>
    <w:rsid w:val="001F755A"/>
    <w:rsid w:val="00206639"/>
    <w:rsid w:val="002073DA"/>
    <w:rsid w:val="00207FBA"/>
    <w:rsid w:val="00211D5F"/>
    <w:rsid w:val="00211DD0"/>
    <w:rsid w:val="00212BEE"/>
    <w:rsid w:val="00217360"/>
    <w:rsid w:val="0022017D"/>
    <w:rsid w:val="00220A8F"/>
    <w:rsid w:val="00221FCF"/>
    <w:rsid w:val="00224DB5"/>
    <w:rsid w:val="00237B6E"/>
    <w:rsid w:val="0024041F"/>
    <w:rsid w:val="00240E29"/>
    <w:rsid w:val="002410B4"/>
    <w:rsid w:val="00242E10"/>
    <w:rsid w:val="002434F9"/>
    <w:rsid w:val="00246731"/>
    <w:rsid w:val="002516A7"/>
    <w:rsid w:val="00252E85"/>
    <w:rsid w:val="00255260"/>
    <w:rsid w:val="00256045"/>
    <w:rsid w:val="00256DE6"/>
    <w:rsid w:val="002572CA"/>
    <w:rsid w:val="002578B5"/>
    <w:rsid w:val="00257A99"/>
    <w:rsid w:val="00260A2D"/>
    <w:rsid w:val="00260A96"/>
    <w:rsid w:val="002610BC"/>
    <w:rsid w:val="00262336"/>
    <w:rsid w:val="00263BE2"/>
    <w:rsid w:val="00270308"/>
    <w:rsid w:val="00272049"/>
    <w:rsid w:val="00272129"/>
    <w:rsid w:val="0027297E"/>
    <w:rsid w:val="00274F51"/>
    <w:rsid w:val="002753CB"/>
    <w:rsid w:val="00275BC0"/>
    <w:rsid w:val="00280686"/>
    <w:rsid w:val="00280B17"/>
    <w:rsid w:val="002821E9"/>
    <w:rsid w:val="002828C3"/>
    <w:rsid w:val="002862F0"/>
    <w:rsid w:val="00286809"/>
    <w:rsid w:val="002905E7"/>
    <w:rsid w:val="0029158D"/>
    <w:rsid w:val="002941FA"/>
    <w:rsid w:val="00294C5B"/>
    <w:rsid w:val="002952D5"/>
    <w:rsid w:val="00295754"/>
    <w:rsid w:val="00296DA5"/>
    <w:rsid w:val="002A344D"/>
    <w:rsid w:val="002A6D16"/>
    <w:rsid w:val="002B0EDA"/>
    <w:rsid w:val="002B11C1"/>
    <w:rsid w:val="002B2F38"/>
    <w:rsid w:val="002B372A"/>
    <w:rsid w:val="002B5670"/>
    <w:rsid w:val="002B7B9D"/>
    <w:rsid w:val="002C2F72"/>
    <w:rsid w:val="002C3B29"/>
    <w:rsid w:val="002C6AAA"/>
    <w:rsid w:val="002D2DC5"/>
    <w:rsid w:val="002D609A"/>
    <w:rsid w:val="002D682D"/>
    <w:rsid w:val="002D744E"/>
    <w:rsid w:val="002D7651"/>
    <w:rsid w:val="002E0E0D"/>
    <w:rsid w:val="002E20AA"/>
    <w:rsid w:val="002E7170"/>
    <w:rsid w:val="002E7235"/>
    <w:rsid w:val="002E7FF3"/>
    <w:rsid w:val="002F1BD0"/>
    <w:rsid w:val="002F2C34"/>
    <w:rsid w:val="002F2CE6"/>
    <w:rsid w:val="002F419A"/>
    <w:rsid w:val="002F6300"/>
    <w:rsid w:val="003047BA"/>
    <w:rsid w:val="00305C45"/>
    <w:rsid w:val="00306F37"/>
    <w:rsid w:val="003078F5"/>
    <w:rsid w:val="0031439F"/>
    <w:rsid w:val="00315BEC"/>
    <w:rsid w:val="0031608F"/>
    <w:rsid w:val="00317081"/>
    <w:rsid w:val="00320030"/>
    <w:rsid w:val="00320535"/>
    <w:rsid w:val="00320926"/>
    <w:rsid w:val="00320FBB"/>
    <w:rsid w:val="00321EAF"/>
    <w:rsid w:val="00323C26"/>
    <w:rsid w:val="00325C98"/>
    <w:rsid w:val="00327CEF"/>
    <w:rsid w:val="0033216C"/>
    <w:rsid w:val="003326D6"/>
    <w:rsid w:val="00332980"/>
    <w:rsid w:val="00335C15"/>
    <w:rsid w:val="00342F03"/>
    <w:rsid w:val="00343FD1"/>
    <w:rsid w:val="00344847"/>
    <w:rsid w:val="0034539D"/>
    <w:rsid w:val="00347B93"/>
    <w:rsid w:val="00347FA1"/>
    <w:rsid w:val="003513C4"/>
    <w:rsid w:val="003529E8"/>
    <w:rsid w:val="0035318A"/>
    <w:rsid w:val="00356005"/>
    <w:rsid w:val="0036297C"/>
    <w:rsid w:val="00362BCD"/>
    <w:rsid w:val="00362EE5"/>
    <w:rsid w:val="003630E6"/>
    <w:rsid w:val="0036768A"/>
    <w:rsid w:val="003676FF"/>
    <w:rsid w:val="00374433"/>
    <w:rsid w:val="0037468A"/>
    <w:rsid w:val="00374D67"/>
    <w:rsid w:val="003750A8"/>
    <w:rsid w:val="0037558A"/>
    <w:rsid w:val="003761CD"/>
    <w:rsid w:val="00376972"/>
    <w:rsid w:val="00377CB8"/>
    <w:rsid w:val="0038060C"/>
    <w:rsid w:val="003816C2"/>
    <w:rsid w:val="00381FF5"/>
    <w:rsid w:val="003829E0"/>
    <w:rsid w:val="00384AFE"/>
    <w:rsid w:val="00386CD0"/>
    <w:rsid w:val="00387540"/>
    <w:rsid w:val="00387A30"/>
    <w:rsid w:val="00387E1B"/>
    <w:rsid w:val="0039035F"/>
    <w:rsid w:val="00392E34"/>
    <w:rsid w:val="003946FC"/>
    <w:rsid w:val="00395BED"/>
    <w:rsid w:val="003A141E"/>
    <w:rsid w:val="003A1548"/>
    <w:rsid w:val="003A2332"/>
    <w:rsid w:val="003A333F"/>
    <w:rsid w:val="003A36A0"/>
    <w:rsid w:val="003A451A"/>
    <w:rsid w:val="003B014D"/>
    <w:rsid w:val="003B28D2"/>
    <w:rsid w:val="003B37EE"/>
    <w:rsid w:val="003B6ECC"/>
    <w:rsid w:val="003B709D"/>
    <w:rsid w:val="003C0EB4"/>
    <w:rsid w:val="003C1FD5"/>
    <w:rsid w:val="003C5CB0"/>
    <w:rsid w:val="003C6015"/>
    <w:rsid w:val="003C7682"/>
    <w:rsid w:val="003C7910"/>
    <w:rsid w:val="003C7E83"/>
    <w:rsid w:val="003D1413"/>
    <w:rsid w:val="003D3205"/>
    <w:rsid w:val="003D4F60"/>
    <w:rsid w:val="003D5788"/>
    <w:rsid w:val="003E5BBB"/>
    <w:rsid w:val="003E5CD2"/>
    <w:rsid w:val="003E7D28"/>
    <w:rsid w:val="003F485A"/>
    <w:rsid w:val="0040322D"/>
    <w:rsid w:val="00403873"/>
    <w:rsid w:val="00403E44"/>
    <w:rsid w:val="00403E70"/>
    <w:rsid w:val="0040526E"/>
    <w:rsid w:val="0040553F"/>
    <w:rsid w:val="0040642E"/>
    <w:rsid w:val="00407365"/>
    <w:rsid w:val="00412084"/>
    <w:rsid w:val="004138AE"/>
    <w:rsid w:val="00414CBE"/>
    <w:rsid w:val="00416325"/>
    <w:rsid w:val="00422A52"/>
    <w:rsid w:val="00423839"/>
    <w:rsid w:val="00424E70"/>
    <w:rsid w:val="004326A7"/>
    <w:rsid w:val="004348C0"/>
    <w:rsid w:val="00437607"/>
    <w:rsid w:val="0044035B"/>
    <w:rsid w:val="004430F0"/>
    <w:rsid w:val="00444A03"/>
    <w:rsid w:val="00445E6A"/>
    <w:rsid w:val="00452BFC"/>
    <w:rsid w:val="004536DE"/>
    <w:rsid w:val="00455DAE"/>
    <w:rsid w:val="00457A8E"/>
    <w:rsid w:val="00463721"/>
    <w:rsid w:val="004737DF"/>
    <w:rsid w:val="0047423F"/>
    <w:rsid w:val="00474C49"/>
    <w:rsid w:val="004756D6"/>
    <w:rsid w:val="004768D9"/>
    <w:rsid w:val="00481E7D"/>
    <w:rsid w:val="00483217"/>
    <w:rsid w:val="00484536"/>
    <w:rsid w:val="00484FFC"/>
    <w:rsid w:val="00491498"/>
    <w:rsid w:val="00497CEB"/>
    <w:rsid w:val="004A00FE"/>
    <w:rsid w:val="004A0215"/>
    <w:rsid w:val="004A25A2"/>
    <w:rsid w:val="004A58BB"/>
    <w:rsid w:val="004A5E77"/>
    <w:rsid w:val="004A62BD"/>
    <w:rsid w:val="004B09AC"/>
    <w:rsid w:val="004B6552"/>
    <w:rsid w:val="004B6BC4"/>
    <w:rsid w:val="004B6C63"/>
    <w:rsid w:val="004C2B7D"/>
    <w:rsid w:val="004C3CD3"/>
    <w:rsid w:val="004D1665"/>
    <w:rsid w:val="004D45DD"/>
    <w:rsid w:val="004D462F"/>
    <w:rsid w:val="004D65DF"/>
    <w:rsid w:val="004D727B"/>
    <w:rsid w:val="004E08C4"/>
    <w:rsid w:val="004E0E28"/>
    <w:rsid w:val="004E1D89"/>
    <w:rsid w:val="004E3CFB"/>
    <w:rsid w:val="004E40DF"/>
    <w:rsid w:val="004F0EA3"/>
    <w:rsid w:val="004F1D36"/>
    <w:rsid w:val="004F3607"/>
    <w:rsid w:val="00500D90"/>
    <w:rsid w:val="005016B5"/>
    <w:rsid w:val="0050762F"/>
    <w:rsid w:val="00510215"/>
    <w:rsid w:val="0051275E"/>
    <w:rsid w:val="0051307E"/>
    <w:rsid w:val="00515752"/>
    <w:rsid w:val="00515830"/>
    <w:rsid w:val="005201FF"/>
    <w:rsid w:val="00521667"/>
    <w:rsid w:val="0052263A"/>
    <w:rsid w:val="00523557"/>
    <w:rsid w:val="00523905"/>
    <w:rsid w:val="00525B79"/>
    <w:rsid w:val="00525CF9"/>
    <w:rsid w:val="00525E28"/>
    <w:rsid w:val="00526425"/>
    <w:rsid w:val="00534AD9"/>
    <w:rsid w:val="00535149"/>
    <w:rsid w:val="00537585"/>
    <w:rsid w:val="0054459B"/>
    <w:rsid w:val="0054580D"/>
    <w:rsid w:val="005463B1"/>
    <w:rsid w:val="0055255E"/>
    <w:rsid w:val="005539F9"/>
    <w:rsid w:val="00561118"/>
    <w:rsid w:val="00562088"/>
    <w:rsid w:val="00562675"/>
    <w:rsid w:val="005626FB"/>
    <w:rsid w:val="00563D62"/>
    <w:rsid w:val="005640F3"/>
    <w:rsid w:val="0056414D"/>
    <w:rsid w:val="00565767"/>
    <w:rsid w:val="00565DED"/>
    <w:rsid w:val="00570235"/>
    <w:rsid w:val="00571CA8"/>
    <w:rsid w:val="00572D82"/>
    <w:rsid w:val="00573274"/>
    <w:rsid w:val="00573A26"/>
    <w:rsid w:val="00577172"/>
    <w:rsid w:val="00580898"/>
    <w:rsid w:val="00582D75"/>
    <w:rsid w:val="005849BE"/>
    <w:rsid w:val="00585EC5"/>
    <w:rsid w:val="00586046"/>
    <w:rsid w:val="005862D6"/>
    <w:rsid w:val="0059178E"/>
    <w:rsid w:val="00595E59"/>
    <w:rsid w:val="005976F4"/>
    <w:rsid w:val="005A23B6"/>
    <w:rsid w:val="005A3554"/>
    <w:rsid w:val="005A4C44"/>
    <w:rsid w:val="005A6FC6"/>
    <w:rsid w:val="005A76DF"/>
    <w:rsid w:val="005B0A87"/>
    <w:rsid w:val="005B1B4A"/>
    <w:rsid w:val="005B3F05"/>
    <w:rsid w:val="005B5A7D"/>
    <w:rsid w:val="005C047F"/>
    <w:rsid w:val="005C4ADD"/>
    <w:rsid w:val="005C4F8A"/>
    <w:rsid w:val="005C6A1E"/>
    <w:rsid w:val="005D0EED"/>
    <w:rsid w:val="005D2DAC"/>
    <w:rsid w:val="005D3C06"/>
    <w:rsid w:val="005D642D"/>
    <w:rsid w:val="005D722F"/>
    <w:rsid w:val="005D7630"/>
    <w:rsid w:val="005D7F52"/>
    <w:rsid w:val="005E08F5"/>
    <w:rsid w:val="005E25B0"/>
    <w:rsid w:val="005E3D51"/>
    <w:rsid w:val="005E5544"/>
    <w:rsid w:val="005E6EAF"/>
    <w:rsid w:val="005F0447"/>
    <w:rsid w:val="005F07C1"/>
    <w:rsid w:val="005F1982"/>
    <w:rsid w:val="005F3A4C"/>
    <w:rsid w:val="005F68EE"/>
    <w:rsid w:val="00603BB7"/>
    <w:rsid w:val="00604703"/>
    <w:rsid w:val="00606A77"/>
    <w:rsid w:val="00606BC3"/>
    <w:rsid w:val="00606D59"/>
    <w:rsid w:val="006106A1"/>
    <w:rsid w:val="0061332F"/>
    <w:rsid w:val="00614B93"/>
    <w:rsid w:val="00615F65"/>
    <w:rsid w:val="00617C9E"/>
    <w:rsid w:val="00624F36"/>
    <w:rsid w:val="00631E4B"/>
    <w:rsid w:val="0063337B"/>
    <w:rsid w:val="0064003C"/>
    <w:rsid w:val="00640224"/>
    <w:rsid w:val="00641BE3"/>
    <w:rsid w:val="006445EC"/>
    <w:rsid w:val="00647416"/>
    <w:rsid w:val="00652C7B"/>
    <w:rsid w:val="006540B4"/>
    <w:rsid w:val="006547DF"/>
    <w:rsid w:val="00656D71"/>
    <w:rsid w:val="00660B61"/>
    <w:rsid w:val="00660DDA"/>
    <w:rsid w:val="006624F6"/>
    <w:rsid w:val="006649DF"/>
    <w:rsid w:val="0066569E"/>
    <w:rsid w:val="00667296"/>
    <w:rsid w:val="0066768F"/>
    <w:rsid w:val="00667B00"/>
    <w:rsid w:val="0067399E"/>
    <w:rsid w:val="006747CF"/>
    <w:rsid w:val="0067486D"/>
    <w:rsid w:val="006820CE"/>
    <w:rsid w:val="00683DE1"/>
    <w:rsid w:val="00683F56"/>
    <w:rsid w:val="00684519"/>
    <w:rsid w:val="00684707"/>
    <w:rsid w:val="006851DD"/>
    <w:rsid w:val="006900B1"/>
    <w:rsid w:val="0069126A"/>
    <w:rsid w:val="006954D8"/>
    <w:rsid w:val="00696A7A"/>
    <w:rsid w:val="006A06A0"/>
    <w:rsid w:val="006A1905"/>
    <w:rsid w:val="006A3353"/>
    <w:rsid w:val="006A345D"/>
    <w:rsid w:val="006A4BBF"/>
    <w:rsid w:val="006A5268"/>
    <w:rsid w:val="006A583D"/>
    <w:rsid w:val="006A7714"/>
    <w:rsid w:val="006B386B"/>
    <w:rsid w:val="006B5250"/>
    <w:rsid w:val="006B626F"/>
    <w:rsid w:val="006B7BCC"/>
    <w:rsid w:val="006C022C"/>
    <w:rsid w:val="006C0764"/>
    <w:rsid w:val="006C1086"/>
    <w:rsid w:val="006C1EE5"/>
    <w:rsid w:val="006C5DBD"/>
    <w:rsid w:val="006C77F1"/>
    <w:rsid w:val="006D0B9F"/>
    <w:rsid w:val="006D7C59"/>
    <w:rsid w:val="006E236F"/>
    <w:rsid w:val="006E48E4"/>
    <w:rsid w:val="006E4D2E"/>
    <w:rsid w:val="006E56BB"/>
    <w:rsid w:val="006E6D25"/>
    <w:rsid w:val="006F0C72"/>
    <w:rsid w:val="006F228A"/>
    <w:rsid w:val="006F36FB"/>
    <w:rsid w:val="006F644E"/>
    <w:rsid w:val="00701C72"/>
    <w:rsid w:val="00701CF7"/>
    <w:rsid w:val="007030BA"/>
    <w:rsid w:val="00704E29"/>
    <w:rsid w:val="007069B3"/>
    <w:rsid w:val="0071264E"/>
    <w:rsid w:val="007156D2"/>
    <w:rsid w:val="007211C6"/>
    <w:rsid w:val="00721881"/>
    <w:rsid w:val="007219C0"/>
    <w:rsid w:val="0072217B"/>
    <w:rsid w:val="0072505A"/>
    <w:rsid w:val="00734CC0"/>
    <w:rsid w:val="007412DB"/>
    <w:rsid w:val="00741C48"/>
    <w:rsid w:val="0074537A"/>
    <w:rsid w:val="00745687"/>
    <w:rsid w:val="00745A0C"/>
    <w:rsid w:val="00745B7D"/>
    <w:rsid w:val="00746509"/>
    <w:rsid w:val="00751D29"/>
    <w:rsid w:val="00753089"/>
    <w:rsid w:val="007572BC"/>
    <w:rsid w:val="0076095B"/>
    <w:rsid w:val="007616CE"/>
    <w:rsid w:val="00765533"/>
    <w:rsid w:val="0076570C"/>
    <w:rsid w:val="00767185"/>
    <w:rsid w:val="00767479"/>
    <w:rsid w:val="00767671"/>
    <w:rsid w:val="00771659"/>
    <w:rsid w:val="00772546"/>
    <w:rsid w:val="00773305"/>
    <w:rsid w:val="00774A34"/>
    <w:rsid w:val="0077576A"/>
    <w:rsid w:val="00782304"/>
    <w:rsid w:val="00782548"/>
    <w:rsid w:val="00786FB8"/>
    <w:rsid w:val="0078719A"/>
    <w:rsid w:val="007904BF"/>
    <w:rsid w:val="0079146E"/>
    <w:rsid w:val="00795B4E"/>
    <w:rsid w:val="00796BCE"/>
    <w:rsid w:val="007A3383"/>
    <w:rsid w:val="007A3BA7"/>
    <w:rsid w:val="007A61B5"/>
    <w:rsid w:val="007A75C7"/>
    <w:rsid w:val="007B14F7"/>
    <w:rsid w:val="007B3C37"/>
    <w:rsid w:val="007C3307"/>
    <w:rsid w:val="007C35CB"/>
    <w:rsid w:val="007C5D9A"/>
    <w:rsid w:val="007C5E8E"/>
    <w:rsid w:val="007C66D4"/>
    <w:rsid w:val="007D0F38"/>
    <w:rsid w:val="007D12A2"/>
    <w:rsid w:val="007D2398"/>
    <w:rsid w:val="007D5B6C"/>
    <w:rsid w:val="007D6D46"/>
    <w:rsid w:val="007E28F7"/>
    <w:rsid w:val="007E35F5"/>
    <w:rsid w:val="007E38DC"/>
    <w:rsid w:val="007E5492"/>
    <w:rsid w:val="007E5546"/>
    <w:rsid w:val="007E6452"/>
    <w:rsid w:val="007F2A04"/>
    <w:rsid w:val="007F307C"/>
    <w:rsid w:val="007F4C91"/>
    <w:rsid w:val="007F5978"/>
    <w:rsid w:val="00805218"/>
    <w:rsid w:val="00807193"/>
    <w:rsid w:val="00813786"/>
    <w:rsid w:val="008141CE"/>
    <w:rsid w:val="00814AD8"/>
    <w:rsid w:val="00814F64"/>
    <w:rsid w:val="00815CE5"/>
    <w:rsid w:val="00817A31"/>
    <w:rsid w:val="008216AC"/>
    <w:rsid w:val="0082225F"/>
    <w:rsid w:val="0082634B"/>
    <w:rsid w:val="0083049E"/>
    <w:rsid w:val="0083110F"/>
    <w:rsid w:val="00832B67"/>
    <w:rsid w:val="008342F5"/>
    <w:rsid w:val="0083667F"/>
    <w:rsid w:val="00842290"/>
    <w:rsid w:val="00843069"/>
    <w:rsid w:val="0084406A"/>
    <w:rsid w:val="00844A8D"/>
    <w:rsid w:val="00844D85"/>
    <w:rsid w:val="008450AD"/>
    <w:rsid w:val="008453DF"/>
    <w:rsid w:val="008454B1"/>
    <w:rsid w:val="0084589C"/>
    <w:rsid w:val="008467F0"/>
    <w:rsid w:val="00846A61"/>
    <w:rsid w:val="00847424"/>
    <w:rsid w:val="00852F10"/>
    <w:rsid w:val="00853BFF"/>
    <w:rsid w:val="0085408A"/>
    <w:rsid w:val="00855DBD"/>
    <w:rsid w:val="00857C8F"/>
    <w:rsid w:val="00861324"/>
    <w:rsid w:val="00864B69"/>
    <w:rsid w:val="00865293"/>
    <w:rsid w:val="008652FD"/>
    <w:rsid w:val="00867727"/>
    <w:rsid w:val="00871BA3"/>
    <w:rsid w:val="0087301A"/>
    <w:rsid w:val="00873CBD"/>
    <w:rsid w:val="0087553E"/>
    <w:rsid w:val="008766CA"/>
    <w:rsid w:val="00876F5F"/>
    <w:rsid w:val="008774C9"/>
    <w:rsid w:val="008812D7"/>
    <w:rsid w:val="00882B8D"/>
    <w:rsid w:val="0088528F"/>
    <w:rsid w:val="008855EA"/>
    <w:rsid w:val="00892562"/>
    <w:rsid w:val="00894261"/>
    <w:rsid w:val="00897086"/>
    <w:rsid w:val="008977EA"/>
    <w:rsid w:val="008A1CE9"/>
    <w:rsid w:val="008A3908"/>
    <w:rsid w:val="008A392D"/>
    <w:rsid w:val="008A5116"/>
    <w:rsid w:val="008B49C3"/>
    <w:rsid w:val="008B4CC6"/>
    <w:rsid w:val="008B4E77"/>
    <w:rsid w:val="008B585D"/>
    <w:rsid w:val="008B5BDF"/>
    <w:rsid w:val="008C0319"/>
    <w:rsid w:val="008C314B"/>
    <w:rsid w:val="008C5009"/>
    <w:rsid w:val="008C5171"/>
    <w:rsid w:val="008D1F89"/>
    <w:rsid w:val="008D3552"/>
    <w:rsid w:val="008D590F"/>
    <w:rsid w:val="008D641A"/>
    <w:rsid w:val="008E3E2A"/>
    <w:rsid w:val="008E3E52"/>
    <w:rsid w:val="008E563B"/>
    <w:rsid w:val="008E5C13"/>
    <w:rsid w:val="008E6B63"/>
    <w:rsid w:val="008F1238"/>
    <w:rsid w:val="008F1BE8"/>
    <w:rsid w:val="008F21DF"/>
    <w:rsid w:val="008F3070"/>
    <w:rsid w:val="008F4FAE"/>
    <w:rsid w:val="008F56BE"/>
    <w:rsid w:val="008F5828"/>
    <w:rsid w:val="008F59AA"/>
    <w:rsid w:val="0090046B"/>
    <w:rsid w:val="00901F7E"/>
    <w:rsid w:val="009069EB"/>
    <w:rsid w:val="00906B87"/>
    <w:rsid w:val="00910136"/>
    <w:rsid w:val="00910DA3"/>
    <w:rsid w:val="00911F15"/>
    <w:rsid w:val="009159E9"/>
    <w:rsid w:val="0091606F"/>
    <w:rsid w:val="009170C0"/>
    <w:rsid w:val="00924ABE"/>
    <w:rsid w:val="0092621D"/>
    <w:rsid w:val="00927840"/>
    <w:rsid w:val="009310A8"/>
    <w:rsid w:val="009351CE"/>
    <w:rsid w:val="009358A1"/>
    <w:rsid w:val="00936720"/>
    <w:rsid w:val="009369F9"/>
    <w:rsid w:val="00937BA6"/>
    <w:rsid w:val="00940F86"/>
    <w:rsid w:val="0094108A"/>
    <w:rsid w:val="009415B0"/>
    <w:rsid w:val="00941E30"/>
    <w:rsid w:val="00941FF6"/>
    <w:rsid w:val="00947AE2"/>
    <w:rsid w:val="009520FF"/>
    <w:rsid w:val="0095326B"/>
    <w:rsid w:val="00953A29"/>
    <w:rsid w:val="00954450"/>
    <w:rsid w:val="00954529"/>
    <w:rsid w:val="009546ED"/>
    <w:rsid w:val="00954DD9"/>
    <w:rsid w:val="00955049"/>
    <w:rsid w:val="009569F6"/>
    <w:rsid w:val="00960E7A"/>
    <w:rsid w:val="0096534E"/>
    <w:rsid w:val="00973026"/>
    <w:rsid w:val="009747D4"/>
    <w:rsid w:val="00976CAC"/>
    <w:rsid w:val="00977CD5"/>
    <w:rsid w:val="00980285"/>
    <w:rsid w:val="009812CB"/>
    <w:rsid w:val="00982A4F"/>
    <w:rsid w:val="00986303"/>
    <w:rsid w:val="009868BA"/>
    <w:rsid w:val="00987028"/>
    <w:rsid w:val="009940B6"/>
    <w:rsid w:val="00996653"/>
    <w:rsid w:val="00997A86"/>
    <w:rsid w:val="00997E0C"/>
    <w:rsid w:val="009A0D86"/>
    <w:rsid w:val="009A235A"/>
    <w:rsid w:val="009A2676"/>
    <w:rsid w:val="009A2E97"/>
    <w:rsid w:val="009A3590"/>
    <w:rsid w:val="009A7B2A"/>
    <w:rsid w:val="009A7DE5"/>
    <w:rsid w:val="009B05F9"/>
    <w:rsid w:val="009B2B57"/>
    <w:rsid w:val="009B30E7"/>
    <w:rsid w:val="009B38B9"/>
    <w:rsid w:val="009C0428"/>
    <w:rsid w:val="009C1EC1"/>
    <w:rsid w:val="009C3FFB"/>
    <w:rsid w:val="009C481E"/>
    <w:rsid w:val="009C5F3D"/>
    <w:rsid w:val="009D0A21"/>
    <w:rsid w:val="009D183A"/>
    <w:rsid w:val="009D2E9D"/>
    <w:rsid w:val="009D4D08"/>
    <w:rsid w:val="009D6056"/>
    <w:rsid w:val="009D6329"/>
    <w:rsid w:val="009E3E9F"/>
    <w:rsid w:val="009E6B90"/>
    <w:rsid w:val="009E6CD8"/>
    <w:rsid w:val="009E7BFD"/>
    <w:rsid w:val="009E7F99"/>
    <w:rsid w:val="009F1637"/>
    <w:rsid w:val="009F45E6"/>
    <w:rsid w:val="009F4C89"/>
    <w:rsid w:val="009F7747"/>
    <w:rsid w:val="00A0247A"/>
    <w:rsid w:val="00A05EDC"/>
    <w:rsid w:val="00A0734E"/>
    <w:rsid w:val="00A11E07"/>
    <w:rsid w:val="00A162C4"/>
    <w:rsid w:val="00A1649F"/>
    <w:rsid w:val="00A16D6C"/>
    <w:rsid w:val="00A2105C"/>
    <w:rsid w:val="00A22B07"/>
    <w:rsid w:val="00A243A2"/>
    <w:rsid w:val="00A25564"/>
    <w:rsid w:val="00A31F67"/>
    <w:rsid w:val="00A32599"/>
    <w:rsid w:val="00A329F1"/>
    <w:rsid w:val="00A32E99"/>
    <w:rsid w:val="00A34CF5"/>
    <w:rsid w:val="00A3537F"/>
    <w:rsid w:val="00A37C98"/>
    <w:rsid w:val="00A40BDD"/>
    <w:rsid w:val="00A43E01"/>
    <w:rsid w:val="00A4501E"/>
    <w:rsid w:val="00A47778"/>
    <w:rsid w:val="00A47C19"/>
    <w:rsid w:val="00A50BA8"/>
    <w:rsid w:val="00A51AA8"/>
    <w:rsid w:val="00A541C8"/>
    <w:rsid w:val="00A55A27"/>
    <w:rsid w:val="00A6399A"/>
    <w:rsid w:val="00A70FE2"/>
    <w:rsid w:val="00A75939"/>
    <w:rsid w:val="00A765CD"/>
    <w:rsid w:val="00A765D2"/>
    <w:rsid w:val="00A808C5"/>
    <w:rsid w:val="00A8113F"/>
    <w:rsid w:val="00A84024"/>
    <w:rsid w:val="00A849C0"/>
    <w:rsid w:val="00A86D88"/>
    <w:rsid w:val="00A87AD2"/>
    <w:rsid w:val="00A90C6D"/>
    <w:rsid w:val="00A91ED8"/>
    <w:rsid w:val="00A91EF7"/>
    <w:rsid w:val="00A93407"/>
    <w:rsid w:val="00A938D0"/>
    <w:rsid w:val="00A948CB"/>
    <w:rsid w:val="00A95BDF"/>
    <w:rsid w:val="00A97F36"/>
    <w:rsid w:val="00AA3BC6"/>
    <w:rsid w:val="00AA5BFB"/>
    <w:rsid w:val="00AA6854"/>
    <w:rsid w:val="00AA7947"/>
    <w:rsid w:val="00AB32CF"/>
    <w:rsid w:val="00AB6551"/>
    <w:rsid w:val="00AB66C4"/>
    <w:rsid w:val="00AC01A8"/>
    <w:rsid w:val="00AC11D9"/>
    <w:rsid w:val="00AC1811"/>
    <w:rsid w:val="00AC41E9"/>
    <w:rsid w:val="00AC60B0"/>
    <w:rsid w:val="00AC71DB"/>
    <w:rsid w:val="00AD0A47"/>
    <w:rsid w:val="00AD16D5"/>
    <w:rsid w:val="00AD3C55"/>
    <w:rsid w:val="00AD45CB"/>
    <w:rsid w:val="00AD6D76"/>
    <w:rsid w:val="00AD747D"/>
    <w:rsid w:val="00AE6332"/>
    <w:rsid w:val="00AE6432"/>
    <w:rsid w:val="00AE65D5"/>
    <w:rsid w:val="00AF22B6"/>
    <w:rsid w:val="00AF5E46"/>
    <w:rsid w:val="00AF6A0C"/>
    <w:rsid w:val="00AF6EBE"/>
    <w:rsid w:val="00AF7EAB"/>
    <w:rsid w:val="00AF7EEB"/>
    <w:rsid w:val="00B02647"/>
    <w:rsid w:val="00B058B8"/>
    <w:rsid w:val="00B058FD"/>
    <w:rsid w:val="00B13413"/>
    <w:rsid w:val="00B13D01"/>
    <w:rsid w:val="00B15AA3"/>
    <w:rsid w:val="00B15FD9"/>
    <w:rsid w:val="00B16A5B"/>
    <w:rsid w:val="00B16E7A"/>
    <w:rsid w:val="00B202C5"/>
    <w:rsid w:val="00B21EFB"/>
    <w:rsid w:val="00B22043"/>
    <w:rsid w:val="00B235F9"/>
    <w:rsid w:val="00B23CDB"/>
    <w:rsid w:val="00B25AB6"/>
    <w:rsid w:val="00B278CE"/>
    <w:rsid w:val="00B31A8B"/>
    <w:rsid w:val="00B326A2"/>
    <w:rsid w:val="00B33BCA"/>
    <w:rsid w:val="00B34408"/>
    <w:rsid w:val="00B34551"/>
    <w:rsid w:val="00B37BD3"/>
    <w:rsid w:val="00B41277"/>
    <w:rsid w:val="00B413CE"/>
    <w:rsid w:val="00B41A9D"/>
    <w:rsid w:val="00B429DF"/>
    <w:rsid w:val="00B4470A"/>
    <w:rsid w:val="00B4687A"/>
    <w:rsid w:val="00B50301"/>
    <w:rsid w:val="00B51FFE"/>
    <w:rsid w:val="00B552C8"/>
    <w:rsid w:val="00B555A5"/>
    <w:rsid w:val="00B56DD6"/>
    <w:rsid w:val="00B60D73"/>
    <w:rsid w:val="00B60E95"/>
    <w:rsid w:val="00B63404"/>
    <w:rsid w:val="00B6393F"/>
    <w:rsid w:val="00B663FF"/>
    <w:rsid w:val="00B72632"/>
    <w:rsid w:val="00B735B6"/>
    <w:rsid w:val="00B7674A"/>
    <w:rsid w:val="00B80428"/>
    <w:rsid w:val="00B809B2"/>
    <w:rsid w:val="00B811AF"/>
    <w:rsid w:val="00B83383"/>
    <w:rsid w:val="00B8465C"/>
    <w:rsid w:val="00B8466E"/>
    <w:rsid w:val="00B8529D"/>
    <w:rsid w:val="00B90B0D"/>
    <w:rsid w:val="00B911A7"/>
    <w:rsid w:val="00B919F0"/>
    <w:rsid w:val="00B9230E"/>
    <w:rsid w:val="00B9353F"/>
    <w:rsid w:val="00B96B76"/>
    <w:rsid w:val="00B97052"/>
    <w:rsid w:val="00BA0DB7"/>
    <w:rsid w:val="00BA2004"/>
    <w:rsid w:val="00BA3E32"/>
    <w:rsid w:val="00BB16B8"/>
    <w:rsid w:val="00BB2CE5"/>
    <w:rsid w:val="00BB4239"/>
    <w:rsid w:val="00BB456F"/>
    <w:rsid w:val="00BB78CF"/>
    <w:rsid w:val="00BC02CA"/>
    <w:rsid w:val="00BC1A40"/>
    <w:rsid w:val="00BC1F8F"/>
    <w:rsid w:val="00BC5AF1"/>
    <w:rsid w:val="00BC7626"/>
    <w:rsid w:val="00BC7747"/>
    <w:rsid w:val="00BD0D3D"/>
    <w:rsid w:val="00BD1ECC"/>
    <w:rsid w:val="00BD210C"/>
    <w:rsid w:val="00BD5229"/>
    <w:rsid w:val="00BE21DC"/>
    <w:rsid w:val="00BE2D4F"/>
    <w:rsid w:val="00BE2DB8"/>
    <w:rsid w:val="00BE3886"/>
    <w:rsid w:val="00BE45ED"/>
    <w:rsid w:val="00BE461B"/>
    <w:rsid w:val="00BE4978"/>
    <w:rsid w:val="00BE7D21"/>
    <w:rsid w:val="00BF1F05"/>
    <w:rsid w:val="00BF4357"/>
    <w:rsid w:val="00BF625B"/>
    <w:rsid w:val="00BF6BB1"/>
    <w:rsid w:val="00C02E70"/>
    <w:rsid w:val="00C030D5"/>
    <w:rsid w:val="00C056B4"/>
    <w:rsid w:val="00C057E7"/>
    <w:rsid w:val="00C10B9D"/>
    <w:rsid w:val="00C1241C"/>
    <w:rsid w:val="00C14DC2"/>
    <w:rsid w:val="00C15B8E"/>
    <w:rsid w:val="00C16CAE"/>
    <w:rsid w:val="00C24115"/>
    <w:rsid w:val="00C2547E"/>
    <w:rsid w:val="00C25F0E"/>
    <w:rsid w:val="00C26567"/>
    <w:rsid w:val="00C26960"/>
    <w:rsid w:val="00C26C8B"/>
    <w:rsid w:val="00C31470"/>
    <w:rsid w:val="00C3529B"/>
    <w:rsid w:val="00C40C12"/>
    <w:rsid w:val="00C4124D"/>
    <w:rsid w:val="00C4216A"/>
    <w:rsid w:val="00C42A69"/>
    <w:rsid w:val="00C43484"/>
    <w:rsid w:val="00C446F9"/>
    <w:rsid w:val="00C50E58"/>
    <w:rsid w:val="00C54EDA"/>
    <w:rsid w:val="00C556B7"/>
    <w:rsid w:val="00C556BF"/>
    <w:rsid w:val="00C56419"/>
    <w:rsid w:val="00C61464"/>
    <w:rsid w:val="00C627CC"/>
    <w:rsid w:val="00C62EFC"/>
    <w:rsid w:val="00C63356"/>
    <w:rsid w:val="00C63BAB"/>
    <w:rsid w:val="00C65EB4"/>
    <w:rsid w:val="00C7047D"/>
    <w:rsid w:val="00C74664"/>
    <w:rsid w:val="00C7517C"/>
    <w:rsid w:val="00C75A43"/>
    <w:rsid w:val="00C816EE"/>
    <w:rsid w:val="00C81F59"/>
    <w:rsid w:val="00C826F9"/>
    <w:rsid w:val="00C82A21"/>
    <w:rsid w:val="00C84C23"/>
    <w:rsid w:val="00C86074"/>
    <w:rsid w:val="00C8781F"/>
    <w:rsid w:val="00C87FA3"/>
    <w:rsid w:val="00C91EEF"/>
    <w:rsid w:val="00C932BB"/>
    <w:rsid w:val="00C97834"/>
    <w:rsid w:val="00CA0541"/>
    <w:rsid w:val="00CA0A84"/>
    <w:rsid w:val="00CA213A"/>
    <w:rsid w:val="00CA2DC1"/>
    <w:rsid w:val="00CA35AA"/>
    <w:rsid w:val="00CB06E7"/>
    <w:rsid w:val="00CB0B20"/>
    <w:rsid w:val="00CB2E67"/>
    <w:rsid w:val="00CB378D"/>
    <w:rsid w:val="00CB480A"/>
    <w:rsid w:val="00CB4C77"/>
    <w:rsid w:val="00CB5A44"/>
    <w:rsid w:val="00CB5A8F"/>
    <w:rsid w:val="00CB5B9A"/>
    <w:rsid w:val="00CB7070"/>
    <w:rsid w:val="00CB709E"/>
    <w:rsid w:val="00CC013F"/>
    <w:rsid w:val="00CC0EF5"/>
    <w:rsid w:val="00CC5C34"/>
    <w:rsid w:val="00CC7810"/>
    <w:rsid w:val="00CD1A96"/>
    <w:rsid w:val="00CD1FAB"/>
    <w:rsid w:val="00CD64DD"/>
    <w:rsid w:val="00CE0CED"/>
    <w:rsid w:val="00CE118A"/>
    <w:rsid w:val="00CE1491"/>
    <w:rsid w:val="00CE2314"/>
    <w:rsid w:val="00CE2CAF"/>
    <w:rsid w:val="00CE38C2"/>
    <w:rsid w:val="00CE3E2D"/>
    <w:rsid w:val="00CE5224"/>
    <w:rsid w:val="00CE5461"/>
    <w:rsid w:val="00CE5BE6"/>
    <w:rsid w:val="00CE6244"/>
    <w:rsid w:val="00CE727B"/>
    <w:rsid w:val="00CF2CDA"/>
    <w:rsid w:val="00CF56D2"/>
    <w:rsid w:val="00D000FD"/>
    <w:rsid w:val="00D11227"/>
    <w:rsid w:val="00D1439C"/>
    <w:rsid w:val="00D1459C"/>
    <w:rsid w:val="00D20D16"/>
    <w:rsid w:val="00D31A91"/>
    <w:rsid w:val="00D352E7"/>
    <w:rsid w:val="00D35941"/>
    <w:rsid w:val="00D40BCA"/>
    <w:rsid w:val="00D40EF0"/>
    <w:rsid w:val="00D4168E"/>
    <w:rsid w:val="00D449CB"/>
    <w:rsid w:val="00D500B7"/>
    <w:rsid w:val="00D5061E"/>
    <w:rsid w:val="00D507F4"/>
    <w:rsid w:val="00D5174F"/>
    <w:rsid w:val="00D51EDF"/>
    <w:rsid w:val="00D53E08"/>
    <w:rsid w:val="00D57E5F"/>
    <w:rsid w:val="00D62B3D"/>
    <w:rsid w:val="00D63C55"/>
    <w:rsid w:val="00D63EBC"/>
    <w:rsid w:val="00D641F2"/>
    <w:rsid w:val="00D70F6B"/>
    <w:rsid w:val="00D715FC"/>
    <w:rsid w:val="00D716B9"/>
    <w:rsid w:val="00D73856"/>
    <w:rsid w:val="00D75239"/>
    <w:rsid w:val="00D75BC0"/>
    <w:rsid w:val="00D81ECE"/>
    <w:rsid w:val="00D83B2C"/>
    <w:rsid w:val="00D86589"/>
    <w:rsid w:val="00D878F6"/>
    <w:rsid w:val="00D9150C"/>
    <w:rsid w:val="00D91AC6"/>
    <w:rsid w:val="00D93260"/>
    <w:rsid w:val="00D94185"/>
    <w:rsid w:val="00D9633C"/>
    <w:rsid w:val="00D96A55"/>
    <w:rsid w:val="00D96ED7"/>
    <w:rsid w:val="00D97CE2"/>
    <w:rsid w:val="00DA27B2"/>
    <w:rsid w:val="00DA60AD"/>
    <w:rsid w:val="00DA6329"/>
    <w:rsid w:val="00DB00B0"/>
    <w:rsid w:val="00DB0B4D"/>
    <w:rsid w:val="00DB30CE"/>
    <w:rsid w:val="00DB7169"/>
    <w:rsid w:val="00DB7658"/>
    <w:rsid w:val="00DB7F95"/>
    <w:rsid w:val="00DC0B4E"/>
    <w:rsid w:val="00DC1B0B"/>
    <w:rsid w:val="00DC2D56"/>
    <w:rsid w:val="00DC3BFC"/>
    <w:rsid w:val="00DC53A1"/>
    <w:rsid w:val="00DC5E04"/>
    <w:rsid w:val="00DC713B"/>
    <w:rsid w:val="00DC77E8"/>
    <w:rsid w:val="00DD1D1B"/>
    <w:rsid w:val="00DD2AD9"/>
    <w:rsid w:val="00DD2ADF"/>
    <w:rsid w:val="00DD3FC5"/>
    <w:rsid w:val="00DD626A"/>
    <w:rsid w:val="00DD6E92"/>
    <w:rsid w:val="00DE1593"/>
    <w:rsid w:val="00DE2198"/>
    <w:rsid w:val="00DE4DA0"/>
    <w:rsid w:val="00DE550C"/>
    <w:rsid w:val="00DF0A53"/>
    <w:rsid w:val="00DF324E"/>
    <w:rsid w:val="00DF39F8"/>
    <w:rsid w:val="00DF6949"/>
    <w:rsid w:val="00E0456C"/>
    <w:rsid w:val="00E103B0"/>
    <w:rsid w:val="00E12F01"/>
    <w:rsid w:val="00E13A16"/>
    <w:rsid w:val="00E14A4D"/>
    <w:rsid w:val="00E16AD9"/>
    <w:rsid w:val="00E17389"/>
    <w:rsid w:val="00E174C3"/>
    <w:rsid w:val="00E2100F"/>
    <w:rsid w:val="00E21340"/>
    <w:rsid w:val="00E222EA"/>
    <w:rsid w:val="00E274BC"/>
    <w:rsid w:val="00E27578"/>
    <w:rsid w:val="00E310DA"/>
    <w:rsid w:val="00E32E4A"/>
    <w:rsid w:val="00E3719C"/>
    <w:rsid w:val="00E37BAE"/>
    <w:rsid w:val="00E37ED7"/>
    <w:rsid w:val="00E4046A"/>
    <w:rsid w:val="00E404D4"/>
    <w:rsid w:val="00E406AC"/>
    <w:rsid w:val="00E4167F"/>
    <w:rsid w:val="00E464F9"/>
    <w:rsid w:val="00E50596"/>
    <w:rsid w:val="00E538BB"/>
    <w:rsid w:val="00E5428D"/>
    <w:rsid w:val="00E543DA"/>
    <w:rsid w:val="00E56C8C"/>
    <w:rsid w:val="00E572EA"/>
    <w:rsid w:val="00E57AAA"/>
    <w:rsid w:val="00E605D0"/>
    <w:rsid w:val="00E6395E"/>
    <w:rsid w:val="00E64164"/>
    <w:rsid w:val="00E641BF"/>
    <w:rsid w:val="00E670F0"/>
    <w:rsid w:val="00E672AB"/>
    <w:rsid w:val="00E67AC2"/>
    <w:rsid w:val="00E67F01"/>
    <w:rsid w:val="00E77A46"/>
    <w:rsid w:val="00E81250"/>
    <w:rsid w:val="00E9239C"/>
    <w:rsid w:val="00E95962"/>
    <w:rsid w:val="00E96DE4"/>
    <w:rsid w:val="00EA1677"/>
    <w:rsid w:val="00EA2C36"/>
    <w:rsid w:val="00EA2E8E"/>
    <w:rsid w:val="00EA336B"/>
    <w:rsid w:val="00EA5DDE"/>
    <w:rsid w:val="00EA5E74"/>
    <w:rsid w:val="00EB2CA3"/>
    <w:rsid w:val="00EB36DF"/>
    <w:rsid w:val="00EB4D7F"/>
    <w:rsid w:val="00EB5C86"/>
    <w:rsid w:val="00EB72B3"/>
    <w:rsid w:val="00EB7BE3"/>
    <w:rsid w:val="00EB7DB5"/>
    <w:rsid w:val="00EC1287"/>
    <w:rsid w:val="00EC2F44"/>
    <w:rsid w:val="00EC2FF8"/>
    <w:rsid w:val="00EC3AFD"/>
    <w:rsid w:val="00ED05E4"/>
    <w:rsid w:val="00ED185A"/>
    <w:rsid w:val="00ED1993"/>
    <w:rsid w:val="00ED38C0"/>
    <w:rsid w:val="00ED3F00"/>
    <w:rsid w:val="00ED4BE4"/>
    <w:rsid w:val="00ED509E"/>
    <w:rsid w:val="00ED513A"/>
    <w:rsid w:val="00ED7242"/>
    <w:rsid w:val="00EE2B3B"/>
    <w:rsid w:val="00EE3924"/>
    <w:rsid w:val="00EE5298"/>
    <w:rsid w:val="00EE56C4"/>
    <w:rsid w:val="00EE5F9E"/>
    <w:rsid w:val="00EE6F7C"/>
    <w:rsid w:val="00EE6FDF"/>
    <w:rsid w:val="00EE728D"/>
    <w:rsid w:val="00EE73C0"/>
    <w:rsid w:val="00EE7885"/>
    <w:rsid w:val="00EF0E57"/>
    <w:rsid w:val="00EF41E0"/>
    <w:rsid w:val="00EF4891"/>
    <w:rsid w:val="00F01DBD"/>
    <w:rsid w:val="00F02D71"/>
    <w:rsid w:val="00F034E6"/>
    <w:rsid w:val="00F04868"/>
    <w:rsid w:val="00F05031"/>
    <w:rsid w:val="00F067F0"/>
    <w:rsid w:val="00F06B78"/>
    <w:rsid w:val="00F10D07"/>
    <w:rsid w:val="00F1102B"/>
    <w:rsid w:val="00F11ED5"/>
    <w:rsid w:val="00F12C8E"/>
    <w:rsid w:val="00F145EE"/>
    <w:rsid w:val="00F14AFF"/>
    <w:rsid w:val="00F14CB4"/>
    <w:rsid w:val="00F158EE"/>
    <w:rsid w:val="00F17A1E"/>
    <w:rsid w:val="00F20B3B"/>
    <w:rsid w:val="00F21A34"/>
    <w:rsid w:val="00F21AB7"/>
    <w:rsid w:val="00F2433C"/>
    <w:rsid w:val="00F251F5"/>
    <w:rsid w:val="00F328E5"/>
    <w:rsid w:val="00F3460F"/>
    <w:rsid w:val="00F349D1"/>
    <w:rsid w:val="00F36485"/>
    <w:rsid w:val="00F37F7B"/>
    <w:rsid w:val="00F406C5"/>
    <w:rsid w:val="00F42511"/>
    <w:rsid w:val="00F46B6E"/>
    <w:rsid w:val="00F46EFC"/>
    <w:rsid w:val="00F51A18"/>
    <w:rsid w:val="00F5343C"/>
    <w:rsid w:val="00F62390"/>
    <w:rsid w:val="00F62FCD"/>
    <w:rsid w:val="00F64FEE"/>
    <w:rsid w:val="00F658CE"/>
    <w:rsid w:val="00F66DE2"/>
    <w:rsid w:val="00F6792F"/>
    <w:rsid w:val="00F67B1A"/>
    <w:rsid w:val="00F706FD"/>
    <w:rsid w:val="00F70981"/>
    <w:rsid w:val="00F709CA"/>
    <w:rsid w:val="00F71BA3"/>
    <w:rsid w:val="00F7284E"/>
    <w:rsid w:val="00F74FF9"/>
    <w:rsid w:val="00F76EB9"/>
    <w:rsid w:val="00F76F65"/>
    <w:rsid w:val="00F77ECF"/>
    <w:rsid w:val="00F81CB9"/>
    <w:rsid w:val="00F82129"/>
    <w:rsid w:val="00F829A0"/>
    <w:rsid w:val="00F841FB"/>
    <w:rsid w:val="00F84EDF"/>
    <w:rsid w:val="00F852B4"/>
    <w:rsid w:val="00F87995"/>
    <w:rsid w:val="00FA0962"/>
    <w:rsid w:val="00FA16B9"/>
    <w:rsid w:val="00FA3771"/>
    <w:rsid w:val="00FA77C5"/>
    <w:rsid w:val="00FA77EB"/>
    <w:rsid w:val="00FB0F35"/>
    <w:rsid w:val="00FB15C0"/>
    <w:rsid w:val="00FB2F36"/>
    <w:rsid w:val="00FB4D29"/>
    <w:rsid w:val="00FB5AC4"/>
    <w:rsid w:val="00FC1440"/>
    <w:rsid w:val="00FC1A0A"/>
    <w:rsid w:val="00FC4489"/>
    <w:rsid w:val="00FC5EBB"/>
    <w:rsid w:val="00FD0630"/>
    <w:rsid w:val="00FD67DB"/>
    <w:rsid w:val="00FE2F73"/>
    <w:rsid w:val="00FE59F3"/>
    <w:rsid w:val="00FF2795"/>
    <w:rsid w:val="00FF3533"/>
    <w:rsid w:val="00FF468A"/>
    <w:rsid w:val="00FF5F63"/>
    <w:rsid w:val="00FF6269"/>
    <w:rsid w:val="00FF64F7"/>
    <w:rsid w:val="00FF6EED"/>
    <w:rsid w:val="00FF78C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6B4B5"/>
  <w15:docId w15:val="{E55C4659-6A37-4E66-9D3D-935E4EFE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80A"/>
    <w:pPr>
      <w:spacing w:after="240" w:line="312" w:lineRule="auto"/>
    </w:pPr>
    <w:rPr>
      <w:rFonts w:asciiTheme="minorHAnsi" w:hAnsiTheme="minorHAnsi"/>
      <w:color w:val="000000" w:themeColor="text1"/>
      <w:sz w:val="22"/>
      <w:szCs w:val="22"/>
      <w:lang w:eastAsia="en-US"/>
    </w:rPr>
  </w:style>
  <w:style w:type="paragraph" w:styleId="Heading1">
    <w:name w:val="heading 1"/>
    <w:basedOn w:val="Normal"/>
    <w:next w:val="Normal"/>
    <w:link w:val="Heading1Char"/>
    <w:uiPriority w:val="1"/>
    <w:qFormat/>
    <w:rsid w:val="002952D5"/>
    <w:pPr>
      <w:keepNext/>
      <w:keepLines/>
      <w:pageBreakBefore/>
      <w:numPr>
        <w:numId w:val="2"/>
      </w:numPr>
      <w:spacing w:after="400" w:line="240" w:lineRule="auto"/>
      <w:outlineLvl w:val="0"/>
    </w:pPr>
    <w:rPr>
      <w:rFonts w:asciiTheme="majorHAnsi" w:eastAsiaTheme="majorEastAsia" w:hAnsiTheme="majorHAnsi" w:cstheme="majorBidi"/>
      <w:bCs/>
      <w:caps/>
      <w:color w:val="DA291C" w:themeColor="background2"/>
      <w:position w:val="1"/>
      <w:sz w:val="48"/>
      <w:szCs w:val="28"/>
    </w:rPr>
  </w:style>
  <w:style w:type="paragraph" w:styleId="Heading2">
    <w:name w:val="heading 2"/>
    <w:basedOn w:val="Normal"/>
    <w:next w:val="Normal"/>
    <w:link w:val="Heading2Char"/>
    <w:uiPriority w:val="1"/>
    <w:unhideWhenUsed/>
    <w:qFormat/>
    <w:rsid w:val="00387E1B"/>
    <w:pPr>
      <w:keepNext/>
      <w:keepLines/>
      <w:numPr>
        <w:ilvl w:val="1"/>
        <w:numId w:val="2"/>
      </w:numPr>
      <w:spacing w:line="240" w:lineRule="auto"/>
      <w:outlineLvl w:val="1"/>
    </w:pPr>
    <w:rPr>
      <w:rFonts w:asciiTheme="majorHAnsi" w:eastAsiaTheme="majorEastAsia" w:hAnsiTheme="majorHAnsi" w:cstheme="majorBidi"/>
      <w:bCs/>
      <w:color w:val="DA291C" w:themeColor="background2"/>
      <w:sz w:val="28"/>
      <w:szCs w:val="26"/>
    </w:rPr>
  </w:style>
  <w:style w:type="paragraph" w:styleId="Heading3">
    <w:name w:val="heading 3"/>
    <w:basedOn w:val="Normal"/>
    <w:next w:val="Normal"/>
    <w:link w:val="Heading3Char"/>
    <w:uiPriority w:val="1"/>
    <w:unhideWhenUsed/>
    <w:qFormat/>
    <w:rsid w:val="00256DE6"/>
    <w:pPr>
      <w:keepNext/>
      <w:keepLines/>
      <w:numPr>
        <w:ilvl w:val="2"/>
        <w:numId w:val="2"/>
      </w:numPr>
      <w:outlineLvl w:val="2"/>
    </w:pPr>
    <w:rPr>
      <w:rFonts w:asciiTheme="majorHAnsi" w:eastAsiaTheme="majorEastAsia" w:hAnsiTheme="majorHAnsi" w:cstheme="majorBidi"/>
      <w:bCs/>
      <w:color w:val="DA291C" w:themeColor="background2"/>
      <w:sz w:val="24"/>
    </w:rPr>
  </w:style>
  <w:style w:type="paragraph" w:styleId="Heading4">
    <w:name w:val="heading 4"/>
    <w:basedOn w:val="Normal"/>
    <w:next w:val="Normal"/>
    <w:link w:val="Heading4Char"/>
    <w:uiPriority w:val="1"/>
    <w:semiHidden/>
    <w:rsid w:val="0006407E"/>
    <w:pPr>
      <w:keepNext/>
      <w:keepLines/>
      <w:numPr>
        <w:ilvl w:val="3"/>
        <w:numId w:val="2"/>
      </w:numPr>
      <w:outlineLvl w:val="3"/>
    </w:pPr>
    <w:rPr>
      <w:rFonts w:asciiTheme="majorHAnsi" w:eastAsiaTheme="majorEastAsia" w:hAnsiTheme="majorHAnsi" w:cstheme="majorBidi"/>
      <w:bCs/>
      <w:iCs/>
    </w:rPr>
  </w:style>
  <w:style w:type="paragraph" w:styleId="Heading5">
    <w:name w:val="heading 5"/>
    <w:aliases w:val="ASA5,Para5,Level 3 - i,sub-sub- sub-sub para,5,h5,h51,h52,H5,(A),A,Block Label"/>
    <w:basedOn w:val="Normal"/>
    <w:next w:val="Normal"/>
    <w:link w:val="Heading5Char"/>
    <w:uiPriority w:val="1"/>
    <w:semiHidden/>
    <w:rsid w:val="00FA77C5"/>
    <w:pPr>
      <w:keepNext/>
      <w:keepLines/>
      <w:numPr>
        <w:ilvl w:val="4"/>
        <w:numId w:val="2"/>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1"/>
    <w:semiHidden/>
    <w:rsid w:val="0006407E"/>
    <w:pPr>
      <w:keepNext/>
      <w:keepLines/>
      <w:numPr>
        <w:ilvl w:val="5"/>
        <w:numId w:val="2"/>
      </w:numPr>
      <w:spacing w:before="40" w:after="0"/>
      <w:outlineLvl w:val="5"/>
    </w:pPr>
    <w:rPr>
      <w:rFonts w:asciiTheme="majorHAnsi" w:eastAsiaTheme="majorEastAsia" w:hAnsiTheme="majorHAnsi" w:cstheme="majorBidi"/>
      <w:color w:val="787878" w:themeColor="text2"/>
    </w:rPr>
  </w:style>
  <w:style w:type="paragraph" w:styleId="Heading7">
    <w:name w:val="heading 7"/>
    <w:basedOn w:val="Normal"/>
    <w:next w:val="Normal"/>
    <w:link w:val="Heading7Char"/>
    <w:uiPriority w:val="1"/>
    <w:semiHidden/>
    <w:rsid w:val="00C97834"/>
    <w:pPr>
      <w:keepNext/>
      <w:keepLines/>
      <w:numPr>
        <w:ilvl w:val="6"/>
        <w:numId w:val="2"/>
      </w:numPr>
      <w:spacing w:before="40" w:after="0"/>
      <w:outlineLvl w:val="6"/>
    </w:pPr>
    <w:rPr>
      <w:rFonts w:asciiTheme="majorHAnsi" w:eastAsiaTheme="majorEastAsia" w:hAnsiTheme="majorHAnsi" w:cstheme="majorBidi"/>
      <w:i/>
      <w:iCs/>
      <w:color w:val="A22F0A" w:themeColor="accent1" w:themeShade="7F"/>
    </w:rPr>
  </w:style>
  <w:style w:type="paragraph" w:styleId="Heading8">
    <w:name w:val="heading 8"/>
    <w:basedOn w:val="Normal"/>
    <w:next w:val="Normal"/>
    <w:link w:val="Heading8Char"/>
    <w:uiPriority w:val="1"/>
    <w:semiHidden/>
    <w:rsid w:val="00C9783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rsid w:val="00C9783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07E"/>
    <w:pPr>
      <w:tabs>
        <w:tab w:val="center" w:pos="4513"/>
        <w:tab w:val="right" w:pos="9026"/>
      </w:tabs>
      <w:spacing w:after="0" w:line="240" w:lineRule="auto"/>
    </w:pPr>
    <w:rPr>
      <w:color w:val="6D140E" w:themeColor="background2" w:themeShade="80"/>
      <w:sz w:val="16"/>
    </w:rPr>
  </w:style>
  <w:style w:type="character" w:customStyle="1" w:styleId="HeaderChar">
    <w:name w:val="Header Char"/>
    <w:basedOn w:val="DefaultParagraphFont"/>
    <w:link w:val="Header"/>
    <w:uiPriority w:val="99"/>
    <w:rsid w:val="0006407E"/>
    <w:rPr>
      <w:rFonts w:asciiTheme="minorHAnsi" w:hAnsiTheme="minorHAnsi"/>
      <w:color w:val="6D140E" w:themeColor="background2" w:themeShade="80"/>
      <w:sz w:val="16"/>
      <w:szCs w:val="22"/>
      <w:lang w:eastAsia="en-US"/>
    </w:rPr>
  </w:style>
  <w:style w:type="paragraph" w:styleId="Footer">
    <w:name w:val="footer"/>
    <w:basedOn w:val="Normal"/>
    <w:link w:val="FooterChar"/>
    <w:unhideWhenUsed/>
    <w:rsid w:val="00ED1993"/>
    <w:pPr>
      <w:tabs>
        <w:tab w:val="center" w:pos="4513"/>
        <w:tab w:val="right" w:pos="9026"/>
      </w:tabs>
      <w:spacing w:after="0" w:line="240" w:lineRule="auto"/>
    </w:pPr>
  </w:style>
  <w:style w:type="character" w:customStyle="1" w:styleId="FooterChar">
    <w:name w:val="Footer Char"/>
    <w:basedOn w:val="DefaultParagraphFont"/>
    <w:link w:val="Footer"/>
    <w:rsid w:val="00ED1993"/>
    <w:rPr>
      <w:rFonts w:asciiTheme="minorHAnsi" w:hAnsiTheme="minorHAnsi"/>
      <w:color w:val="000000" w:themeColor="text1"/>
      <w:sz w:val="22"/>
      <w:szCs w:val="22"/>
      <w:lang w:eastAsia="en-US"/>
    </w:rPr>
  </w:style>
  <w:style w:type="paragraph" w:styleId="BalloonText">
    <w:name w:val="Balloon Text"/>
    <w:basedOn w:val="Normal"/>
    <w:link w:val="BalloonTextChar"/>
    <w:semiHidden/>
    <w:unhideWhenUsed/>
    <w:rsid w:val="003B0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4D"/>
    <w:rPr>
      <w:rFonts w:ascii="Tahoma" w:hAnsi="Tahoma" w:cs="Tahoma"/>
      <w:sz w:val="16"/>
      <w:szCs w:val="16"/>
      <w:lang w:eastAsia="en-US"/>
    </w:rPr>
  </w:style>
  <w:style w:type="paragraph" w:customStyle="1" w:styleId="CoverTitle">
    <w:name w:val="Cover Title"/>
    <w:basedOn w:val="Normal"/>
    <w:link w:val="CoverTitleChar"/>
    <w:qFormat/>
    <w:rsid w:val="00B16E7A"/>
    <w:pPr>
      <w:widowControl w:val="0"/>
      <w:pBdr>
        <w:bottom w:val="single" w:sz="8" w:space="30" w:color="787878" w:themeColor="text2"/>
      </w:pBdr>
      <w:spacing w:before="7000" w:after="600" w:line="240" w:lineRule="auto"/>
      <w:ind w:left="284"/>
    </w:pPr>
    <w:rPr>
      <w:rFonts w:asciiTheme="majorHAnsi" w:eastAsia="Century Gothic" w:hAnsiTheme="majorHAnsi" w:cs="Century Gothic"/>
      <w:sz w:val="60"/>
      <w:szCs w:val="60"/>
      <w:lang w:val="en-US"/>
    </w:rPr>
  </w:style>
  <w:style w:type="character" w:customStyle="1" w:styleId="CoverTitleChar">
    <w:name w:val="Cover Title Char"/>
    <w:basedOn w:val="DefaultParagraphFont"/>
    <w:link w:val="CoverTitle"/>
    <w:rsid w:val="00B16E7A"/>
    <w:rPr>
      <w:rFonts w:asciiTheme="majorHAnsi" w:eastAsia="Century Gothic" w:hAnsiTheme="majorHAnsi" w:cs="Century Gothic"/>
      <w:color w:val="000000" w:themeColor="text1"/>
      <w:sz w:val="60"/>
      <w:szCs w:val="60"/>
      <w:lang w:val="en-US" w:eastAsia="en-US"/>
    </w:rPr>
  </w:style>
  <w:style w:type="paragraph" w:customStyle="1" w:styleId="CoverSubheading">
    <w:name w:val="Cover Subheading"/>
    <w:basedOn w:val="Normal"/>
    <w:link w:val="CoverSubheadingChar"/>
    <w:qFormat/>
    <w:rsid w:val="00B16E7A"/>
    <w:pPr>
      <w:widowControl w:val="0"/>
      <w:spacing w:after="600" w:line="240" w:lineRule="auto"/>
      <w:ind w:left="284"/>
    </w:pPr>
    <w:rPr>
      <w:rFonts w:eastAsia="Century Gothic" w:cs="Century Gothic"/>
      <w:b/>
      <w:color w:val="DA291C" w:themeColor="background2"/>
      <w:sz w:val="28"/>
      <w:szCs w:val="30"/>
      <w:lang w:val="en-US"/>
    </w:rPr>
  </w:style>
  <w:style w:type="character" w:customStyle="1" w:styleId="CoverSubheadingChar">
    <w:name w:val="Cover Subheading Char"/>
    <w:basedOn w:val="DefaultParagraphFont"/>
    <w:link w:val="CoverSubheading"/>
    <w:rsid w:val="00B16E7A"/>
    <w:rPr>
      <w:rFonts w:asciiTheme="minorHAnsi" w:eastAsia="Century Gothic" w:hAnsiTheme="minorHAnsi" w:cs="Century Gothic"/>
      <w:b/>
      <w:color w:val="DA291C" w:themeColor="background2"/>
      <w:sz w:val="28"/>
      <w:szCs w:val="30"/>
      <w:lang w:val="en-US" w:eastAsia="en-US"/>
    </w:rPr>
  </w:style>
  <w:style w:type="paragraph" w:customStyle="1" w:styleId="CoverDate">
    <w:name w:val="Cover Date"/>
    <w:basedOn w:val="Normal"/>
    <w:link w:val="CoverDateChar"/>
    <w:qFormat/>
    <w:rsid w:val="00B16E7A"/>
    <w:pPr>
      <w:widowControl w:val="0"/>
      <w:spacing w:line="240" w:lineRule="auto"/>
      <w:ind w:left="284"/>
    </w:pPr>
    <w:rPr>
      <w:rFonts w:eastAsia="Century Gothic" w:cs="Century Gothic"/>
      <w:color w:val="242C31"/>
      <w:sz w:val="28"/>
      <w:szCs w:val="30"/>
      <w:lang w:val="en-US"/>
    </w:rPr>
  </w:style>
  <w:style w:type="character" w:customStyle="1" w:styleId="CoverDateChar">
    <w:name w:val="Cover Date Char"/>
    <w:basedOn w:val="DefaultParagraphFont"/>
    <w:link w:val="CoverDate"/>
    <w:rsid w:val="00B16E7A"/>
    <w:rPr>
      <w:rFonts w:asciiTheme="minorHAnsi" w:eastAsia="Century Gothic" w:hAnsiTheme="minorHAnsi" w:cs="Century Gothic"/>
      <w:color w:val="242C31"/>
      <w:sz w:val="28"/>
      <w:szCs w:val="30"/>
      <w:lang w:val="en-US" w:eastAsia="en-US"/>
    </w:rPr>
  </w:style>
  <w:style w:type="table" w:styleId="TableGrid">
    <w:name w:val="Table Grid"/>
    <w:basedOn w:val="TableNormal"/>
    <w:uiPriority w:val="59"/>
    <w:rsid w:val="0078719A"/>
    <w:tblPr>
      <w:tblCellMar>
        <w:left w:w="0" w:type="dxa"/>
        <w:right w:w="0" w:type="dxa"/>
      </w:tblCellMar>
    </w:tblPr>
  </w:style>
  <w:style w:type="paragraph" w:styleId="NoSpacing">
    <w:name w:val="No Spacing"/>
    <w:uiPriority w:val="1"/>
    <w:qFormat/>
    <w:rsid w:val="009546ED"/>
    <w:pPr>
      <w:spacing w:line="204" w:lineRule="auto"/>
    </w:pPr>
    <w:rPr>
      <w:rFonts w:asciiTheme="minorHAnsi" w:hAnsiTheme="minorHAnsi"/>
      <w:color w:val="000000" w:themeColor="text1"/>
      <w:sz w:val="22"/>
      <w:szCs w:val="22"/>
      <w:lang w:eastAsia="en-US"/>
    </w:rPr>
  </w:style>
  <w:style w:type="paragraph" w:customStyle="1" w:styleId="ContentsHeading">
    <w:name w:val="Contents Heading"/>
    <w:basedOn w:val="Normal"/>
    <w:link w:val="ContentsHeadingChar"/>
    <w:qFormat/>
    <w:rsid w:val="009B05F9"/>
    <w:pPr>
      <w:pBdr>
        <w:bottom w:val="single" w:sz="8" w:space="10" w:color="787878" w:themeColor="text2"/>
      </w:pBdr>
      <w:spacing w:after="400" w:line="240" w:lineRule="auto"/>
      <w:jc w:val="center"/>
    </w:pPr>
    <w:rPr>
      <w:rFonts w:asciiTheme="majorHAnsi" w:hAnsiTheme="majorHAnsi"/>
      <w:caps/>
      <w:color w:val="DA291C" w:themeColor="background2"/>
      <w:sz w:val="48"/>
      <w:szCs w:val="40"/>
    </w:rPr>
  </w:style>
  <w:style w:type="paragraph" w:customStyle="1" w:styleId="Tabletext">
    <w:name w:val="Table text"/>
    <w:link w:val="TabletextChar"/>
    <w:qFormat/>
    <w:rsid w:val="00CE118A"/>
    <w:rPr>
      <w:rFonts w:asciiTheme="minorHAnsi" w:hAnsiTheme="minorHAnsi"/>
      <w:noProof/>
      <w:szCs w:val="22"/>
      <w:lang w:eastAsia="en-US"/>
    </w:rPr>
  </w:style>
  <w:style w:type="character" w:customStyle="1" w:styleId="ContentsHeadingChar">
    <w:name w:val="Contents Heading Char"/>
    <w:basedOn w:val="DefaultParagraphFont"/>
    <w:link w:val="ContentsHeading"/>
    <w:rsid w:val="009B05F9"/>
    <w:rPr>
      <w:rFonts w:asciiTheme="majorHAnsi" w:hAnsiTheme="majorHAnsi"/>
      <w:caps/>
      <w:color w:val="DA291C" w:themeColor="background2"/>
      <w:sz w:val="48"/>
      <w:szCs w:val="40"/>
      <w:lang w:eastAsia="en-US"/>
    </w:rPr>
  </w:style>
  <w:style w:type="character" w:customStyle="1" w:styleId="TabletextChar">
    <w:name w:val="Table text Char"/>
    <w:basedOn w:val="DefaultParagraphFont"/>
    <w:link w:val="Tabletext"/>
    <w:rsid w:val="00CE118A"/>
    <w:rPr>
      <w:rFonts w:asciiTheme="minorHAnsi" w:hAnsiTheme="minorHAnsi"/>
      <w:noProof/>
      <w:szCs w:val="22"/>
      <w:lang w:eastAsia="en-US"/>
    </w:rPr>
  </w:style>
  <w:style w:type="character" w:customStyle="1" w:styleId="Heading1Char">
    <w:name w:val="Heading 1 Char"/>
    <w:basedOn w:val="DefaultParagraphFont"/>
    <w:link w:val="Heading1"/>
    <w:uiPriority w:val="1"/>
    <w:rsid w:val="002952D5"/>
    <w:rPr>
      <w:rFonts w:asciiTheme="majorHAnsi" w:eastAsiaTheme="majorEastAsia" w:hAnsiTheme="majorHAnsi" w:cstheme="majorBidi"/>
      <w:bCs/>
      <w:caps/>
      <w:color w:val="DA291C" w:themeColor="background2"/>
      <w:position w:val="1"/>
      <w:sz w:val="48"/>
      <w:szCs w:val="28"/>
      <w:lang w:eastAsia="en-US"/>
    </w:rPr>
  </w:style>
  <w:style w:type="paragraph" w:styleId="TOCHeading">
    <w:name w:val="TOC Heading"/>
    <w:basedOn w:val="Heading1"/>
    <w:next w:val="Normal"/>
    <w:uiPriority w:val="39"/>
    <w:semiHidden/>
    <w:rsid w:val="00D9633C"/>
    <w:pPr>
      <w:pageBreakBefore w:val="0"/>
      <w:pBdr>
        <w:bottom w:val="single" w:sz="4" w:space="10" w:color="787878" w:themeColor="text2"/>
      </w:pBdr>
      <w:spacing w:after="600" w:line="264" w:lineRule="auto"/>
      <w:outlineLvl w:val="9"/>
    </w:pPr>
    <w:rPr>
      <w:lang w:val="en-US" w:eastAsia="ja-JP"/>
    </w:rPr>
  </w:style>
  <w:style w:type="paragraph" w:styleId="TOC1">
    <w:name w:val="toc 1"/>
    <w:basedOn w:val="Normal"/>
    <w:next w:val="Normal"/>
    <w:autoRedefine/>
    <w:uiPriority w:val="39"/>
    <w:unhideWhenUsed/>
    <w:rsid w:val="00D91AC6"/>
    <w:pPr>
      <w:tabs>
        <w:tab w:val="left" w:pos="440"/>
        <w:tab w:val="right" w:pos="9356"/>
      </w:tabs>
      <w:spacing w:after="120"/>
    </w:pPr>
    <w:rPr>
      <w:color w:val="auto"/>
      <w:sz w:val="28"/>
    </w:rPr>
  </w:style>
  <w:style w:type="character" w:styleId="Hyperlink">
    <w:name w:val="Hyperlink"/>
    <w:basedOn w:val="DefaultParagraphFont"/>
    <w:uiPriority w:val="99"/>
    <w:unhideWhenUsed/>
    <w:rsid w:val="00CE2314"/>
    <w:rPr>
      <w:rFonts w:asciiTheme="minorHAnsi" w:hAnsiTheme="minorHAnsi"/>
      <w:color w:val="5A747D" w:themeColor="accent6"/>
      <w:sz w:val="20"/>
      <w:u w:val="single"/>
    </w:rPr>
  </w:style>
  <w:style w:type="character" w:customStyle="1" w:styleId="Heading2Char">
    <w:name w:val="Heading 2 Char"/>
    <w:basedOn w:val="DefaultParagraphFont"/>
    <w:link w:val="Heading2"/>
    <w:uiPriority w:val="1"/>
    <w:rsid w:val="00387E1B"/>
    <w:rPr>
      <w:rFonts w:asciiTheme="majorHAnsi" w:eastAsiaTheme="majorEastAsia" w:hAnsiTheme="majorHAnsi" w:cstheme="majorBidi"/>
      <w:bCs/>
      <w:color w:val="DA291C" w:themeColor="background2"/>
      <w:sz w:val="28"/>
      <w:szCs w:val="26"/>
      <w:lang w:eastAsia="en-US"/>
    </w:rPr>
  </w:style>
  <w:style w:type="paragraph" w:styleId="TOC2">
    <w:name w:val="toc 2"/>
    <w:basedOn w:val="Normal"/>
    <w:next w:val="Normal"/>
    <w:autoRedefine/>
    <w:uiPriority w:val="39"/>
    <w:unhideWhenUsed/>
    <w:rsid w:val="00D91AC6"/>
    <w:pPr>
      <w:tabs>
        <w:tab w:val="left" w:leader="dot" w:pos="880"/>
        <w:tab w:val="right" w:pos="9356"/>
      </w:tabs>
      <w:spacing w:after="120"/>
      <w:ind w:left="935" w:hanging="425"/>
    </w:pPr>
    <w:rPr>
      <w:color w:val="auto"/>
    </w:rPr>
  </w:style>
  <w:style w:type="character" w:customStyle="1" w:styleId="Heading3Char">
    <w:name w:val="Heading 3 Char"/>
    <w:basedOn w:val="DefaultParagraphFont"/>
    <w:link w:val="Heading3"/>
    <w:uiPriority w:val="1"/>
    <w:rsid w:val="00256DE6"/>
    <w:rPr>
      <w:rFonts w:asciiTheme="majorHAnsi" w:eastAsiaTheme="majorEastAsia" w:hAnsiTheme="majorHAnsi" w:cstheme="majorBidi"/>
      <w:bCs/>
      <w:color w:val="DA291C" w:themeColor="background2"/>
      <w:sz w:val="24"/>
      <w:szCs w:val="22"/>
      <w:lang w:eastAsia="en-US"/>
    </w:rPr>
  </w:style>
  <w:style w:type="paragraph" w:customStyle="1" w:styleId="TableFigureChartTitle">
    <w:name w:val="Table Figure Chart Title"/>
    <w:basedOn w:val="Normal"/>
    <w:link w:val="TableFigureChartTitleChar"/>
    <w:qFormat/>
    <w:rsid w:val="000835D9"/>
    <w:pPr>
      <w:pBdr>
        <w:top w:val="single" w:sz="8" w:space="10" w:color="787878" w:themeColor="text2"/>
      </w:pBdr>
      <w:spacing w:after="120"/>
    </w:pPr>
    <w:rPr>
      <w:color w:val="595959" w:themeColor="text2" w:themeShade="BF"/>
    </w:rPr>
  </w:style>
  <w:style w:type="character" w:styleId="SubtleReference">
    <w:name w:val="Subtle Reference"/>
    <w:basedOn w:val="DefaultParagraphFont"/>
    <w:uiPriority w:val="31"/>
    <w:semiHidden/>
    <w:rsid w:val="000C614D"/>
    <w:rPr>
      <w:smallCaps/>
      <w:color w:val="7E5749" w:themeColor="accent2"/>
      <w:u w:val="single"/>
    </w:rPr>
  </w:style>
  <w:style w:type="paragraph" w:customStyle="1" w:styleId="TableHeading">
    <w:name w:val="Table Heading"/>
    <w:basedOn w:val="Normal"/>
    <w:link w:val="TableHeadingChar"/>
    <w:qFormat/>
    <w:rsid w:val="00E14A4D"/>
    <w:pPr>
      <w:widowControl w:val="0"/>
      <w:spacing w:after="0" w:line="240" w:lineRule="auto"/>
    </w:pPr>
    <w:rPr>
      <w:rFonts w:eastAsia="Century Gothic" w:cs="Century Gothic"/>
      <w:sz w:val="20"/>
      <w:szCs w:val="16"/>
      <w:lang w:val="en-US"/>
    </w:rPr>
  </w:style>
  <w:style w:type="character" w:styleId="Strong">
    <w:name w:val="Strong"/>
    <w:basedOn w:val="DefaultParagraphFont"/>
    <w:uiPriority w:val="22"/>
    <w:semiHidden/>
    <w:rsid w:val="000C614D"/>
    <w:rPr>
      <w:b/>
      <w:bCs/>
    </w:rPr>
  </w:style>
  <w:style w:type="numbering" w:customStyle="1" w:styleId="Style1">
    <w:name w:val="Style1"/>
    <w:uiPriority w:val="99"/>
    <w:rsid w:val="005C047F"/>
    <w:pPr>
      <w:numPr>
        <w:numId w:val="1"/>
      </w:numPr>
    </w:pPr>
  </w:style>
  <w:style w:type="character" w:customStyle="1" w:styleId="TableHeadingChar">
    <w:name w:val="Table Heading Char"/>
    <w:basedOn w:val="DefaultParagraphFont"/>
    <w:link w:val="TableHeading"/>
    <w:rsid w:val="00E14A4D"/>
    <w:rPr>
      <w:rFonts w:asciiTheme="minorHAnsi" w:eastAsia="Century Gothic" w:hAnsiTheme="minorHAnsi" w:cs="Century Gothic"/>
      <w:color w:val="000000" w:themeColor="text1"/>
      <w:szCs w:val="16"/>
      <w:lang w:val="en-US" w:eastAsia="en-US"/>
    </w:rPr>
  </w:style>
  <w:style w:type="paragraph" w:customStyle="1" w:styleId="SourceText">
    <w:name w:val="Source Text"/>
    <w:basedOn w:val="Normal"/>
    <w:link w:val="SourceTextChar"/>
    <w:qFormat/>
    <w:rsid w:val="0078719A"/>
    <w:pPr>
      <w:widowControl w:val="0"/>
      <w:spacing w:before="200" w:line="240" w:lineRule="auto"/>
    </w:pPr>
    <w:rPr>
      <w:rFonts w:eastAsia="Century Gothic" w:cs="Century Gothic"/>
      <w:i/>
      <w:color w:val="5E4136" w:themeColor="accent2" w:themeShade="BF"/>
      <w:sz w:val="16"/>
      <w:szCs w:val="16"/>
      <w:lang w:val="en-US"/>
    </w:rPr>
  </w:style>
  <w:style w:type="paragraph" w:customStyle="1" w:styleId="Bulletlist">
    <w:name w:val="Bullet list"/>
    <w:basedOn w:val="Normal"/>
    <w:link w:val="BulletlistChar"/>
    <w:qFormat/>
    <w:rsid w:val="00320535"/>
    <w:pPr>
      <w:numPr>
        <w:numId w:val="90"/>
      </w:numPr>
    </w:pPr>
  </w:style>
  <w:style w:type="paragraph" w:styleId="Quote">
    <w:name w:val="Quote"/>
    <w:link w:val="QuoteChar"/>
    <w:uiPriority w:val="29"/>
    <w:qFormat/>
    <w:rsid w:val="004430F0"/>
    <w:pPr>
      <w:pBdr>
        <w:top w:val="single" w:sz="8" w:space="1" w:color="E4E4E4" w:themeColor="text2" w:themeTint="33"/>
        <w:left w:val="single" w:sz="8" w:space="31" w:color="E4E4E4" w:themeColor="text2" w:themeTint="33"/>
        <w:bottom w:val="single" w:sz="8" w:space="1" w:color="E4E4E4" w:themeColor="text2" w:themeTint="33"/>
        <w:right w:val="single" w:sz="8" w:space="31" w:color="E4E4E4" w:themeColor="text2" w:themeTint="33"/>
      </w:pBdr>
      <w:shd w:val="clear" w:color="auto" w:fill="E4E4E4" w:themeFill="text2" w:themeFillTint="33"/>
      <w:spacing w:line="312" w:lineRule="auto"/>
      <w:ind w:left="414" w:right="408"/>
    </w:pPr>
    <w:rPr>
      <w:rFonts w:asciiTheme="minorHAnsi" w:hAnsiTheme="minorHAnsi"/>
      <w:iCs/>
      <w:color w:val="000000" w:themeColor="text1"/>
      <w:sz w:val="28"/>
      <w:szCs w:val="22"/>
      <w:lang w:eastAsia="en-US"/>
    </w:rPr>
  </w:style>
  <w:style w:type="character" w:customStyle="1" w:styleId="BulletlistChar">
    <w:name w:val="Bullet list Char"/>
    <w:basedOn w:val="DefaultParagraphFont"/>
    <w:link w:val="Bulletlist"/>
    <w:rsid w:val="00320535"/>
    <w:rPr>
      <w:rFonts w:asciiTheme="minorHAnsi" w:hAnsiTheme="minorHAnsi"/>
      <w:color w:val="000000" w:themeColor="text1"/>
      <w:sz w:val="22"/>
      <w:szCs w:val="22"/>
      <w:lang w:eastAsia="en-US"/>
    </w:rPr>
  </w:style>
  <w:style w:type="character" w:customStyle="1" w:styleId="SourceTextChar">
    <w:name w:val="Source Text Char"/>
    <w:basedOn w:val="DefaultParagraphFont"/>
    <w:link w:val="SourceText"/>
    <w:rsid w:val="0078719A"/>
    <w:rPr>
      <w:rFonts w:asciiTheme="minorHAnsi" w:eastAsia="Century Gothic" w:hAnsiTheme="minorHAnsi" w:cs="Century Gothic"/>
      <w:i/>
      <w:color w:val="5E4136" w:themeColor="accent2" w:themeShade="BF"/>
      <w:sz w:val="16"/>
      <w:szCs w:val="16"/>
      <w:lang w:val="en-US" w:eastAsia="en-US"/>
    </w:rPr>
  </w:style>
  <w:style w:type="table" w:customStyle="1" w:styleId="PeakboundTable">
    <w:name w:val="Peakbound Table"/>
    <w:basedOn w:val="TableNormal"/>
    <w:uiPriority w:val="99"/>
    <w:rsid w:val="0078719A"/>
    <w:pPr>
      <w:spacing w:before="40" w:after="40"/>
    </w:pPr>
    <w:rPr>
      <w:rFonts w:asciiTheme="minorHAnsi" w:hAnsiTheme="minorHAnsi"/>
      <w:color w:val="000000" w:themeColor="text1"/>
      <w:sz w:val="18"/>
    </w:rPr>
    <w:tblPr>
      <w:tblStyleRowBandSize w:val="1"/>
      <w:tblStyleColBandSize w:val="1"/>
      <w:tblBorders>
        <w:bottom w:val="single" w:sz="8" w:space="0" w:color="787878" w:themeColor="text2"/>
        <w:insideH w:val="single" w:sz="8" w:space="0" w:color="787878" w:themeColor="text2"/>
      </w:tblBorders>
      <w:tblCellMar>
        <w:top w:w="28" w:type="dxa"/>
        <w:left w:w="28" w:type="dxa"/>
        <w:bottom w:w="28" w:type="dxa"/>
        <w:right w:w="28" w:type="dxa"/>
      </w:tblCellMar>
    </w:tblPr>
    <w:tcPr>
      <w:vAlign w:val="center"/>
    </w:tcPr>
    <w:tblStylePr w:type="firstRow">
      <w:rPr>
        <w:rFonts w:asciiTheme="minorHAnsi" w:hAnsiTheme="minorHAnsi"/>
        <w:color w:val="FFFFFF" w:themeColor="background1"/>
        <w:sz w:val="18"/>
      </w:rPr>
      <w:tblPr/>
      <w:tcPr>
        <w:tcBorders>
          <w:top w:val="nil"/>
          <w:left w:val="nil"/>
          <w:bottom w:val="nil"/>
          <w:right w:val="nil"/>
          <w:insideH w:val="nil"/>
          <w:insideV w:val="nil"/>
          <w:tl2br w:val="nil"/>
          <w:tr2bl w:val="nil"/>
        </w:tcBorders>
        <w:shd w:val="clear" w:color="auto" w:fill="F58967" w:themeFill="accent1"/>
      </w:tcPr>
    </w:tblStylePr>
    <w:tblStylePr w:type="lastRow">
      <w:rPr>
        <w:rFonts w:asciiTheme="minorHAnsi" w:hAnsiTheme="minorHAnsi"/>
        <w:b/>
        <w:color w:val="787878" w:themeColor="text2"/>
        <w:sz w:val="18"/>
      </w:rPr>
      <w:tblPr/>
      <w:tcPr>
        <w:shd w:val="clear" w:color="auto" w:fill="F58967" w:themeFill="accent1"/>
      </w:tcPr>
    </w:tblStylePr>
    <w:tblStylePr w:type="lastCol">
      <w:pPr>
        <w:jc w:val="right"/>
      </w:pPr>
      <w:rPr>
        <w:rFonts w:asciiTheme="minorHAnsi" w:hAnsiTheme="minorHAnsi"/>
        <w:b w:val="0"/>
        <w:sz w:val="18"/>
      </w:rPr>
    </w:tblStylePr>
    <w:tblStylePr w:type="band1Horz">
      <w:tblPr/>
      <w:tcPr>
        <w:shd w:val="clear" w:color="auto" w:fill="FDEDEB"/>
      </w:tcPr>
    </w:tblStylePr>
  </w:style>
  <w:style w:type="character" w:customStyle="1" w:styleId="Heading4Char">
    <w:name w:val="Heading 4 Char"/>
    <w:basedOn w:val="DefaultParagraphFont"/>
    <w:link w:val="Heading4"/>
    <w:uiPriority w:val="1"/>
    <w:semiHidden/>
    <w:rsid w:val="00D63C55"/>
    <w:rPr>
      <w:rFonts w:asciiTheme="majorHAnsi" w:eastAsiaTheme="majorEastAsia" w:hAnsiTheme="majorHAnsi" w:cstheme="majorBidi"/>
      <w:bCs/>
      <w:iCs/>
      <w:color w:val="000000" w:themeColor="text1"/>
      <w:sz w:val="22"/>
      <w:szCs w:val="22"/>
      <w:lang w:eastAsia="en-US"/>
    </w:rPr>
  </w:style>
  <w:style w:type="character" w:customStyle="1" w:styleId="TableFigureChartTitleChar">
    <w:name w:val="Table Figure Chart Title Char"/>
    <w:basedOn w:val="DefaultParagraphFont"/>
    <w:link w:val="TableFigureChartTitle"/>
    <w:rsid w:val="000835D9"/>
    <w:rPr>
      <w:rFonts w:asciiTheme="minorHAnsi" w:hAnsiTheme="minorHAnsi"/>
      <w:color w:val="595959" w:themeColor="text2" w:themeShade="BF"/>
      <w:sz w:val="22"/>
      <w:szCs w:val="22"/>
      <w:lang w:eastAsia="en-US"/>
    </w:rPr>
  </w:style>
  <w:style w:type="character" w:customStyle="1" w:styleId="QuoteChar">
    <w:name w:val="Quote Char"/>
    <w:basedOn w:val="DefaultParagraphFont"/>
    <w:link w:val="Quote"/>
    <w:uiPriority w:val="29"/>
    <w:rsid w:val="004430F0"/>
    <w:rPr>
      <w:rFonts w:asciiTheme="minorHAnsi" w:hAnsiTheme="minorHAnsi"/>
      <w:iCs/>
      <w:color w:val="000000" w:themeColor="text1"/>
      <w:sz w:val="28"/>
      <w:szCs w:val="22"/>
      <w:shd w:val="clear" w:color="auto" w:fill="E4E4E4" w:themeFill="text2" w:themeFillTint="33"/>
      <w:lang w:eastAsia="en-US"/>
    </w:rPr>
  </w:style>
  <w:style w:type="character" w:styleId="Emphasis">
    <w:name w:val="Emphasis"/>
    <w:basedOn w:val="DefaultParagraphFont"/>
    <w:uiPriority w:val="20"/>
    <w:qFormat/>
    <w:rsid w:val="004F1D36"/>
    <w:rPr>
      <w:i/>
      <w:iCs/>
    </w:rPr>
  </w:style>
  <w:style w:type="character" w:styleId="IntenseEmphasis">
    <w:name w:val="Intense Emphasis"/>
    <w:basedOn w:val="DefaultParagraphFont"/>
    <w:uiPriority w:val="21"/>
    <w:semiHidden/>
    <w:qFormat/>
    <w:rsid w:val="000C614D"/>
    <w:rPr>
      <w:rFonts w:asciiTheme="minorHAnsi" w:hAnsiTheme="minorHAnsi"/>
      <w:b/>
      <w:bCs/>
      <w:i/>
      <w:iCs/>
      <w:color w:val="F58967" w:themeColor="accent1"/>
      <w:sz w:val="20"/>
    </w:rPr>
  </w:style>
  <w:style w:type="character" w:styleId="SubtleEmphasis">
    <w:name w:val="Subtle Emphasis"/>
    <w:basedOn w:val="DefaultParagraphFont"/>
    <w:uiPriority w:val="19"/>
    <w:semiHidden/>
    <w:qFormat/>
    <w:rsid w:val="000C614D"/>
    <w:rPr>
      <w:rFonts w:asciiTheme="minorHAnsi" w:hAnsiTheme="minorHAnsi"/>
      <w:i/>
      <w:iCs/>
      <w:color w:val="808080" w:themeColor="text1" w:themeTint="7F"/>
      <w:sz w:val="20"/>
    </w:rPr>
  </w:style>
  <w:style w:type="paragraph" w:styleId="TOC3">
    <w:name w:val="toc 3"/>
    <w:basedOn w:val="Normal"/>
    <w:next w:val="Normal"/>
    <w:autoRedefine/>
    <w:uiPriority w:val="39"/>
    <w:unhideWhenUsed/>
    <w:rsid w:val="00CB480A"/>
    <w:pPr>
      <w:tabs>
        <w:tab w:val="left" w:pos="1418"/>
        <w:tab w:val="right" w:pos="9628"/>
      </w:tabs>
      <w:ind w:left="907"/>
    </w:pPr>
    <w:rPr>
      <w:noProof/>
      <w:color w:val="auto"/>
      <w:lang w:eastAsia="en-AU"/>
    </w:rPr>
  </w:style>
  <w:style w:type="paragraph" w:customStyle="1" w:styleId="FigurecontentsPage">
    <w:name w:val="Figure contents Page"/>
    <w:basedOn w:val="Normal"/>
    <w:link w:val="FigurecontentsPageChar"/>
    <w:semiHidden/>
    <w:qFormat/>
    <w:rsid w:val="00F10D07"/>
    <w:pPr>
      <w:tabs>
        <w:tab w:val="right" w:pos="9628"/>
      </w:tabs>
    </w:pPr>
    <w:rPr>
      <w:noProof/>
    </w:rPr>
  </w:style>
  <w:style w:type="character" w:customStyle="1" w:styleId="Heading5Char">
    <w:name w:val="Heading 5 Char"/>
    <w:aliases w:val="ASA5 Char,Para5 Char,Level 3 - i Char,sub-sub- sub-sub para Char,5 Char,h5 Char,h51 Char,h52 Char,H5 Char,(A) Char,A Char,Block Label Char"/>
    <w:basedOn w:val="DefaultParagraphFont"/>
    <w:link w:val="Heading5"/>
    <w:uiPriority w:val="1"/>
    <w:semiHidden/>
    <w:rsid w:val="00D63C55"/>
    <w:rPr>
      <w:rFonts w:asciiTheme="majorHAnsi" w:eastAsiaTheme="majorEastAsia" w:hAnsiTheme="majorHAnsi" w:cstheme="majorBidi"/>
      <w:color w:val="000000" w:themeColor="text1"/>
      <w:sz w:val="22"/>
      <w:szCs w:val="22"/>
      <w:lang w:eastAsia="en-US"/>
    </w:rPr>
  </w:style>
  <w:style w:type="paragraph" w:styleId="Subtitle">
    <w:name w:val="Subtitle"/>
    <w:basedOn w:val="Normal"/>
    <w:next w:val="Normal"/>
    <w:link w:val="SubtitleChar"/>
    <w:uiPriority w:val="11"/>
    <w:semiHidden/>
    <w:rsid w:val="00BC7626"/>
    <w:pPr>
      <w:numPr>
        <w:ilvl w:val="1"/>
      </w:numPr>
    </w:pPr>
    <w:rPr>
      <w:rFonts w:asciiTheme="majorHAnsi" w:eastAsiaTheme="majorEastAsia" w:hAnsiTheme="majorHAnsi" w:cstheme="majorBidi"/>
      <w:i/>
      <w:iCs/>
      <w:color w:val="F58967" w:themeColor="accent1"/>
      <w:spacing w:val="15"/>
      <w:sz w:val="24"/>
      <w:szCs w:val="24"/>
    </w:rPr>
  </w:style>
  <w:style w:type="character" w:customStyle="1" w:styleId="SubtitleChar">
    <w:name w:val="Subtitle Char"/>
    <w:basedOn w:val="DefaultParagraphFont"/>
    <w:link w:val="Subtitle"/>
    <w:uiPriority w:val="11"/>
    <w:semiHidden/>
    <w:rsid w:val="00FA77C5"/>
    <w:rPr>
      <w:rFonts w:asciiTheme="majorHAnsi" w:eastAsiaTheme="majorEastAsia" w:hAnsiTheme="majorHAnsi" w:cstheme="majorBidi"/>
      <w:i/>
      <w:iCs/>
      <w:color w:val="F58967" w:themeColor="accent1"/>
      <w:spacing w:val="15"/>
      <w:sz w:val="24"/>
      <w:szCs w:val="24"/>
      <w:lang w:eastAsia="en-US"/>
    </w:rPr>
  </w:style>
  <w:style w:type="paragraph" w:customStyle="1" w:styleId="QuoteMarks">
    <w:name w:val="Quote Marks"/>
    <w:qFormat/>
    <w:rsid w:val="004430F0"/>
    <w:pPr>
      <w:pBdr>
        <w:top w:val="single" w:sz="8" w:space="8" w:color="E4E4E4" w:themeColor="text2" w:themeTint="33"/>
        <w:left w:val="single" w:sz="8" w:space="10" w:color="E4E4E4" w:themeColor="text2" w:themeTint="33"/>
        <w:bottom w:val="single" w:sz="8" w:space="8" w:color="E4E4E4" w:themeColor="text2" w:themeTint="33"/>
        <w:right w:val="single" w:sz="8" w:space="10" w:color="E4E4E4" w:themeColor="text2" w:themeTint="33"/>
      </w:pBdr>
      <w:shd w:val="clear" w:color="auto" w:fill="E4E4E4" w:themeFill="text2" w:themeFillTint="33"/>
    </w:pPr>
    <w:rPr>
      <w:rFonts w:asciiTheme="minorHAnsi" w:hAnsiTheme="minorHAnsi"/>
      <w:iCs/>
      <w:color w:val="000000" w:themeColor="text1"/>
      <w:sz w:val="28"/>
      <w:szCs w:val="22"/>
      <w:lang w:eastAsia="en-US"/>
    </w:rPr>
  </w:style>
  <w:style w:type="paragraph" w:styleId="IntenseQuote">
    <w:name w:val="Intense Quote"/>
    <w:basedOn w:val="Normal"/>
    <w:next w:val="Normal"/>
    <w:link w:val="IntenseQuoteChar"/>
    <w:uiPriority w:val="30"/>
    <w:semiHidden/>
    <w:rsid w:val="00FA77C5"/>
    <w:pPr>
      <w:pBdr>
        <w:bottom w:val="single" w:sz="4" w:space="4" w:color="F58967" w:themeColor="accent1"/>
      </w:pBdr>
      <w:spacing w:before="200" w:after="280"/>
      <w:ind w:left="936" w:right="936"/>
    </w:pPr>
    <w:rPr>
      <w:b/>
      <w:bCs/>
      <w:i/>
      <w:iCs/>
      <w:color w:val="F58967" w:themeColor="accent1"/>
    </w:rPr>
  </w:style>
  <w:style w:type="character" w:customStyle="1" w:styleId="IntenseQuoteChar">
    <w:name w:val="Intense Quote Char"/>
    <w:basedOn w:val="DefaultParagraphFont"/>
    <w:link w:val="IntenseQuote"/>
    <w:uiPriority w:val="30"/>
    <w:semiHidden/>
    <w:rsid w:val="00FA77C5"/>
    <w:rPr>
      <w:rFonts w:asciiTheme="minorHAnsi" w:hAnsiTheme="minorHAnsi"/>
      <w:b/>
      <w:bCs/>
      <w:i/>
      <w:iCs/>
      <w:color w:val="F58967" w:themeColor="accent1"/>
      <w:szCs w:val="22"/>
      <w:lang w:eastAsia="en-US"/>
    </w:rPr>
  </w:style>
  <w:style w:type="character" w:customStyle="1" w:styleId="FigurecontentsPageChar">
    <w:name w:val="Figure contents Page Char"/>
    <w:basedOn w:val="DefaultParagraphFont"/>
    <w:link w:val="FigurecontentsPage"/>
    <w:semiHidden/>
    <w:rsid w:val="00F10D07"/>
    <w:rPr>
      <w:rFonts w:asciiTheme="minorHAnsi" w:hAnsiTheme="minorHAnsi"/>
      <w:noProof/>
      <w:szCs w:val="22"/>
      <w:lang w:eastAsia="en-US"/>
    </w:rPr>
  </w:style>
  <w:style w:type="paragraph" w:styleId="FootnoteText">
    <w:name w:val="footnote text"/>
    <w:basedOn w:val="Normal"/>
    <w:link w:val="FootnoteTextChar"/>
    <w:uiPriority w:val="99"/>
    <w:semiHidden/>
    <w:unhideWhenUsed/>
    <w:rsid w:val="009D6329"/>
    <w:pPr>
      <w:spacing w:after="0" w:line="240" w:lineRule="auto"/>
    </w:pPr>
    <w:rPr>
      <w:szCs w:val="20"/>
    </w:rPr>
  </w:style>
  <w:style w:type="character" w:customStyle="1" w:styleId="FootnoteTextChar">
    <w:name w:val="Footnote Text Char"/>
    <w:basedOn w:val="DefaultParagraphFont"/>
    <w:link w:val="FootnoteText"/>
    <w:uiPriority w:val="99"/>
    <w:semiHidden/>
    <w:rsid w:val="009D6329"/>
    <w:rPr>
      <w:rFonts w:asciiTheme="minorHAnsi" w:hAnsiTheme="minorHAnsi"/>
      <w:lang w:eastAsia="en-US"/>
    </w:rPr>
  </w:style>
  <w:style w:type="character" w:styleId="FootnoteReference">
    <w:name w:val="footnote reference"/>
    <w:basedOn w:val="DefaultParagraphFont"/>
    <w:uiPriority w:val="99"/>
    <w:semiHidden/>
    <w:unhideWhenUsed/>
    <w:rsid w:val="009D6329"/>
    <w:rPr>
      <w:vertAlign w:val="superscript"/>
    </w:rPr>
  </w:style>
  <w:style w:type="paragraph" w:styleId="TOC4">
    <w:name w:val="toc 4"/>
    <w:basedOn w:val="Normal"/>
    <w:next w:val="Normal"/>
    <w:autoRedefine/>
    <w:uiPriority w:val="39"/>
    <w:semiHidden/>
    <w:rsid w:val="00F70981"/>
    <w:pPr>
      <w:tabs>
        <w:tab w:val="left" w:pos="1418"/>
        <w:tab w:val="right" w:pos="9628"/>
      </w:tabs>
      <w:spacing w:after="100"/>
      <w:ind w:left="425"/>
    </w:pPr>
    <w:rPr>
      <w:color w:val="7E5749" w:themeColor="accent2"/>
    </w:rPr>
  </w:style>
  <w:style w:type="paragraph" w:styleId="Caption">
    <w:name w:val="caption"/>
    <w:basedOn w:val="TableFigureChartTitle"/>
    <w:next w:val="Normal"/>
    <w:uiPriority w:val="35"/>
    <w:semiHidden/>
    <w:qFormat/>
    <w:rsid w:val="00A16D6C"/>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E4E4E4" w:themeFill="text2" w:themeFillTint="33"/>
    </w:pPr>
    <w:rPr>
      <w:color w:val="000000" w:themeColor="text1" w:themeShade="BF"/>
      <w:sz w:val="28"/>
    </w:rPr>
  </w:style>
  <w:style w:type="character" w:customStyle="1" w:styleId="Heading6Char">
    <w:name w:val="Heading 6 Char"/>
    <w:basedOn w:val="DefaultParagraphFont"/>
    <w:link w:val="Heading6"/>
    <w:uiPriority w:val="1"/>
    <w:semiHidden/>
    <w:rsid w:val="00D63C55"/>
    <w:rPr>
      <w:rFonts w:asciiTheme="majorHAnsi" w:eastAsiaTheme="majorEastAsia" w:hAnsiTheme="majorHAnsi" w:cstheme="majorBidi"/>
      <w:color w:val="787878" w:themeColor="text2"/>
      <w:sz w:val="22"/>
      <w:szCs w:val="22"/>
      <w:lang w:eastAsia="en-US"/>
    </w:rPr>
  </w:style>
  <w:style w:type="character" w:customStyle="1" w:styleId="Heading7Char">
    <w:name w:val="Heading 7 Char"/>
    <w:basedOn w:val="DefaultParagraphFont"/>
    <w:link w:val="Heading7"/>
    <w:uiPriority w:val="1"/>
    <w:semiHidden/>
    <w:rsid w:val="00D63C55"/>
    <w:rPr>
      <w:rFonts w:asciiTheme="majorHAnsi" w:eastAsiaTheme="majorEastAsia" w:hAnsiTheme="majorHAnsi" w:cstheme="majorBidi"/>
      <w:i/>
      <w:iCs/>
      <w:color w:val="A22F0A" w:themeColor="accent1" w:themeShade="7F"/>
      <w:sz w:val="22"/>
      <w:szCs w:val="22"/>
      <w:lang w:eastAsia="en-US"/>
    </w:rPr>
  </w:style>
  <w:style w:type="character" w:customStyle="1" w:styleId="Heading8Char">
    <w:name w:val="Heading 8 Char"/>
    <w:basedOn w:val="DefaultParagraphFont"/>
    <w:link w:val="Heading8"/>
    <w:uiPriority w:val="1"/>
    <w:semiHidden/>
    <w:rsid w:val="00D63C5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1"/>
    <w:semiHidden/>
    <w:rsid w:val="00D63C55"/>
    <w:rPr>
      <w:rFonts w:asciiTheme="majorHAnsi" w:eastAsiaTheme="majorEastAsia" w:hAnsiTheme="majorHAnsi" w:cstheme="majorBidi"/>
      <w:i/>
      <w:iCs/>
      <w:color w:val="272727" w:themeColor="text1" w:themeTint="D8"/>
      <w:sz w:val="21"/>
      <w:szCs w:val="21"/>
      <w:lang w:eastAsia="en-US"/>
    </w:rPr>
  </w:style>
  <w:style w:type="paragraph" w:customStyle="1" w:styleId="DividerHeading">
    <w:name w:val="Divider Heading"/>
    <w:basedOn w:val="CoverTitle"/>
    <w:link w:val="DividerHeadingChar"/>
    <w:qFormat/>
    <w:rsid w:val="00A22B07"/>
    <w:pPr>
      <w:pBdr>
        <w:top w:val="single" w:sz="4" w:space="20" w:color="DA291C" w:themeColor="background2"/>
        <w:bottom w:val="none" w:sz="0" w:space="0" w:color="auto"/>
      </w:pBdr>
      <w:spacing w:before="600"/>
    </w:pPr>
    <w:rPr>
      <w:color w:val="DA291C" w:themeColor="background2"/>
      <w:sz w:val="80"/>
    </w:rPr>
  </w:style>
  <w:style w:type="character" w:customStyle="1" w:styleId="DividerHeadingChar">
    <w:name w:val="Divider Heading Char"/>
    <w:basedOn w:val="CoverTitleChar"/>
    <w:link w:val="DividerHeading"/>
    <w:rsid w:val="00A22B07"/>
    <w:rPr>
      <w:rFonts w:asciiTheme="majorHAnsi" w:eastAsia="Century Gothic" w:hAnsiTheme="majorHAnsi" w:cs="Century Gothic"/>
      <w:color w:val="DA291C" w:themeColor="background2"/>
      <w:sz w:val="80"/>
      <w:szCs w:val="60"/>
      <w:lang w:val="en-US" w:eastAsia="en-US"/>
    </w:rPr>
  </w:style>
  <w:style w:type="paragraph" w:styleId="PlainText">
    <w:name w:val="Plain Text"/>
    <w:basedOn w:val="Normal"/>
    <w:link w:val="PlainTextChar"/>
    <w:uiPriority w:val="99"/>
    <w:semiHidden/>
    <w:unhideWhenUsed/>
    <w:rsid w:val="00660B61"/>
    <w:pPr>
      <w:spacing w:after="0" w:line="240" w:lineRule="auto"/>
    </w:pPr>
    <w:rPr>
      <w:rFonts w:ascii="Consolas" w:hAnsi="Consolas" w:cs="Consolas"/>
      <w:color w:val="auto"/>
      <w:sz w:val="21"/>
      <w:szCs w:val="21"/>
      <w:lang w:eastAsia="en-AU"/>
    </w:rPr>
  </w:style>
  <w:style w:type="character" w:customStyle="1" w:styleId="PlainTextChar">
    <w:name w:val="Plain Text Char"/>
    <w:basedOn w:val="DefaultParagraphFont"/>
    <w:link w:val="PlainText"/>
    <w:uiPriority w:val="99"/>
    <w:semiHidden/>
    <w:rsid w:val="00660B61"/>
    <w:rPr>
      <w:rFonts w:ascii="Consolas" w:hAnsi="Consolas" w:cs="Consolas"/>
      <w:sz w:val="21"/>
      <w:szCs w:val="21"/>
    </w:rPr>
  </w:style>
  <w:style w:type="paragraph" w:customStyle="1" w:styleId="QuoteSmall">
    <w:name w:val="Quote Small"/>
    <w:basedOn w:val="Quote"/>
    <w:qFormat/>
    <w:rsid w:val="00CB0B20"/>
    <w:rPr>
      <w:sz w:val="22"/>
    </w:rPr>
  </w:style>
  <w:style w:type="paragraph" w:customStyle="1" w:styleId="QuoteMarksSmall">
    <w:name w:val="Quote Marks Small"/>
    <w:basedOn w:val="QuoteMarks"/>
    <w:next w:val="QuoteSmall"/>
    <w:qFormat/>
    <w:rsid w:val="00CB0B20"/>
    <w:pPr>
      <w:pBdr>
        <w:top w:val="single" w:sz="8" w:space="4" w:color="E4E4E4" w:themeColor="text2" w:themeTint="33"/>
        <w:bottom w:val="single" w:sz="8" w:space="4" w:color="E4E4E4" w:themeColor="text2" w:themeTint="33"/>
      </w:pBdr>
    </w:pPr>
  </w:style>
  <w:style w:type="paragraph" w:customStyle="1" w:styleId="TableText0">
    <w:name w:val="Table Text"/>
    <w:basedOn w:val="Normal"/>
    <w:rsid w:val="00660B61"/>
    <w:pPr>
      <w:spacing w:before="120" w:after="120" w:line="240" w:lineRule="auto"/>
      <w:jc w:val="both"/>
    </w:pPr>
    <w:rPr>
      <w:rFonts w:ascii="Arial" w:eastAsia="Times New Roman" w:hAnsi="Arial"/>
      <w:color w:val="auto"/>
      <w:szCs w:val="20"/>
    </w:rPr>
  </w:style>
  <w:style w:type="paragraph" w:customStyle="1" w:styleId="Default">
    <w:name w:val="Default"/>
    <w:rsid w:val="00660B61"/>
    <w:pPr>
      <w:autoSpaceDE w:val="0"/>
      <w:autoSpaceDN w:val="0"/>
      <w:adjustRightInd w:val="0"/>
    </w:pPr>
    <w:rPr>
      <w:rFonts w:ascii="Arial" w:eastAsia="Times New Roman" w:hAnsi="Arial" w:cs="Arial"/>
      <w:color w:val="000000"/>
      <w:sz w:val="24"/>
      <w:szCs w:val="24"/>
    </w:rPr>
  </w:style>
  <w:style w:type="character" w:styleId="PageNumber">
    <w:name w:val="page number"/>
    <w:basedOn w:val="DefaultParagraphFont"/>
    <w:semiHidden/>
    <w:unhideWhenUsed/>
    <w:rsid w:val="00CB7070"/>
    <w:rPr>
      <w:rFonts w:ascii="Arial" w:hAnsi="Arial" w:cs="Arial" w:hint="default"/>
      <w:sz w:val="16"/>
    </w:rPr>
  </w:style>
  <w:style w:type="paragraph" w:customStyle="1" w:styleId="ImprintDetals">
    <w:name w:val="Imprint Detals"/>
    <w:qFormat/>
    <w:rsid w:val="00412084"/>
    <w:pPr>
      <w:spacing w:before="10000" w:line="480" w:lineRule="auto"/>
    </w:pPr>
    <w:rPr>
      <w:rFonts w:asciiTheme="minorHAnsi" w:hAnsiTheme="minorHAnsi"/>
      <w:color w:val="000000" w:themeColor="text1"/>
      <w:sz w:val="18"/>
      <w:szCs w:val="22"/>
      <w:lang w:eastAsia="en-US"/>
    </w:rPr>
  </w:style>
  <w:style w:type="numbering" w:customStyle="1" w:styleId="CulperBulletList">
    <w:name w:val="Culper Bullet List"/>
    <w:uiPriority w:val="99"/>
    <w:rsid w:val="00320535"/>
    <w:pPr>
      <w:numPr>
        <w:numId w:val="4"/>
      </w:numPr>
    </w:pPr>
  </w:style>
  <w:style w:type="paragraph" w:customStyle="1" w:styleId="NumberedList">
    <w:name w:val="Numbered List"/>
    <w:uiPriority w:val="99"/>
    <w:qFormat/>
    <w:rsid w:val="0037558A"/>
    <w:pPr>
      <w:numPr>
        <w:numId w:val="5"/>
      </w:numPr>
      <w:spacing w:after="240" w:line="312" w:lineRule="auto"/>
    </w:pPr>
    <w:rPr>
      <w:rFonts w:asciiTheme="minorHAnsi" w:hAnsiTheme="minorHAnsi"/>
      <w:color w:val="000000" w:themeColor="text1"/>
      <w:sz w:val="22"/>
      <w:szCs w:val="22"/>
      <w:lang w:eastAsia="en-US"/>
    </w:rPr>
  </w:style>
  <w:style w:type="numbering" w:customStyle="1" w:styleId="CulperNumberedList">
    <w:name w:val="Culper Numbered List"/>
    <w:uiPriority w:val="99"/>
    <w:rsid w:val="0037558A"/>
    <w:pPr>
      <w:numPr>
        <w:numId w:val="5"/>
      </w:numPr>
    </w:pPr>
  </w:style>
  <w:style w:type="paragraph" w:customStyle="1" w:styleId="PersonnelName">
    <w:name w:val="Personnel Name"/>
    <w:next w:val="PersonnelPosition"/>
    <w:qFormat/>
    <w:rsid w:val="009546ED"/>
    <w:pPr>
      <w:spacing w:after="60"/>
    </w:pPr>
    <w:rPr>
      <w:rFonts w:asciiTheme="minorHAnsi" w:hAnsiTheme="minorHAnsi"/>
      <w:b/>
      <w:color w:val="DA291C" w:themeColor="background2"/>
      <w:sz w:val="36"/>
      <w:szCs w:val="28"/>
      <w:lang w:val="en-US" w:eastAsia="en-US"/>
    </w:rPr>
  </w:style>
  <w:style w:type="paragraph" w:customStyle="1" w:styleId="PersonnelPosition">
    <w:name w:val="Personnel Position"/>
    <w:next w:val="PersonnelCredentials"/>
    <w:qFormat/>
    <w:rsid w:val="009546ED"/>
    <w:pPr>
      <w:spacing w:after="60"/>
    </w:pPr>
    <w:rPr>
      <w:rFonts w:asciiTheme="minorHAnsi" w:hAnsiTheme="minorHAnsi"/>
      <w:color w:val="000000" w:themeColor="text1"/>
      <w:sz w:val="22"/>
      <w:szCs w:val="28"/>
      <w:lang w:val="en-US" w:eastAsia="en-US"/>
    </w:rPr>
  </w:style>
  <w:style w:type="paragraph" w:customStyle="1" w:styleId="PersonnelCredentials">
    <w:name w:val="Personnel Credentials"/>
    <w:qFormat/>
    <w:rsid w:val="00876F5F"/>
    <w:pPr>
      <w:spacing w:before="40"/>
    </w:pPr>
    <w:rPr>
      <w:rFonts w:asciiTheme="minorHAnsi" w:hAnsiTheme="minorHAnsi"/>
      <w:sz w:val="16"/>
      <w:szCs w:val="18"/>
      <w:lang w:val="en-US" w:eastAsia="en-US"/>
    </w:rPr>
  </w:style>
  <w:style w:type="paragraph" w:customStyle="1" w:styleId="BodyHeadingBlue">
    <w:name w:val="Body Heading Blue"/>
    <w:next w:val="Normal"/>
    <w:qFormat/>
    <w:rsid w:val="009546ED"/>
    <w:pPr>
      <w:spacing w:after="120"/>
    </w:pPr>
    <w:rPr>
      <w:rFonts w:asciiTheme="minorHAnsi" w:hAnsiTheme="minorHAnsi"/>
      <w:b/>
      <w:color w:val="DA291C" w:themeColor="background2"/>
      <w:sz w:val="22"/>
      <w:szCs w:val="22"/>
      <w:lang w:eastAsia="en-US"/>
    </w:rPr>
  </w:style>
  <w:style w:type="character" w:styleId="CommentReference">
    <w:name w:val="annotation reference"/>
    <w:basedOn w:val="DefaultParagraphFont"/>
    <w:uiPriority w:val="99"/>
    <w:semiHidden/>
    <w:unhideWhenUsed/>
    <w:rsid w:val="00867727"/>
    <w:rPr>
      <w:sz w:val="16"/>
      <w:szCs w:val="16"/>
    </w:rPr>
  </w:style>
  <w:style w:type="paragraph" w:styleId="CommentText">
    <w:name w:val="annotation text"/>
    <w:basedOn w:val="Normal"/>
    <w:link w:val="CommentTextChar"/>
    <w:uiPriority w:val="99"/>
    <w:unhideWhenUsed/>
    <w:rsid w:val="00867727"/>
    <w:pPr>
      <w:spacing w:line="240" w:lineRule="auto"/>
    </w:pPr>
    <w:rPr>
      <w:sz w:val="20"/>
      <w:szCs w:val="20"/>
    </w:rPr>
  </w:style>
  <w:style w:type="character" w:customStyle="1" w:styleId="CommentTextChar">
    <w:name w:val="Comment Text Char"/>
    <w:basedOn w:val="DefaultParagraphFont"/>
    <w:link w:val="CommentText"/>
    <w:uiPriority w:val="99"/>
    <w:rsid w:val="00867727"/>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867727"/>
    <w:rPr>
      <w:b/>
      <w:bCs/>
    </w:rPr>
  </w:style>
  <w:style w:type="character" w:customStyle="1" w:styleId="CommentSubjectChar">
    <w:name w:val="Comment Subject Char"/>
    <w:basedOn w:val="CommentTextChar"/>
    <w:link w:val="CommentSubject"/>
    <w:uiPriority w:val="99"/>
    <w:semiHidden/>
    <w:rsid w:val="00867727"/>
    <w:rPr>
      <w:rFonts w:asciiTheme="minorHAnsi" w:hAnsiTheme="minorHAnsi"/>
      <w:b/>
      <w:bCs/>
      <w:color w:val="000000" w:themeColor="text1"/>
      <w:lang w:eastAsia="en-US"/>
    </w:rPr>
  </w:style>
  <w:style w:type="numbering" w:customStyle="1" w:styleId="CulperBulletList1">
    <w:name w:val="Culper Bullet List1"/>
    <w:uiPriority w:val="99"/>
    <w:rsid w:val="00BE2DB8"/>
  </w:style>
  <w:style w:type="paragraph" w:styleId="ListParagraph">
    <w:name w:val="List Paragraph"/>
    <w:aliases w:val="First level bullet point"/>
    <w:basedOn w:val="Normal"/>
    <w:link w:val="ListParagraphChar"/>
    <w:autoRedefine/>
    <w:uiPriority w:val="34"/>
    <w:qFormat/>
    <w:rsid w:val="00F71BA3"/>
    <w:pPr>
      <w:numPr>
        <w:numId w:val="7"/>
      </w:numPr>
      <w:tabs>
        <w:tab w:val="center" w:pos="4513"/>
        <w:tab w:val="right" w:pos="9026"/>
      </w:tabs>
      <w:spacing w:after="0" w:line="360" w:lineRule="auto"/>
      <w:contextualSpacing/>
      <w:jc w:val="both"/>
    </w:pPr>
    <w:rPr>
      <w:rFonts w:ascii="Univers Com 45 Light" w:hAnsi="Univers Com 45 Light"/>
      <w:color w:val="414141"/>
      <w:sz w:val="20"/>
      <w:szCs w:val="20"/>
      <w:lang w:val="en-GB" w:bidi="en-US"/>
    </w:rPr>
  </w:style>
  <w:style w:type="character" w:customStyle="1" w:styleId="ListParagraphChar">
    <w:name w:val="List Paragraph Char"/>
    <w:aliases w:val="First level bullet point Char"/>
    <w:basedOn w:val="DefaultParagraphFont"/>
    <w:link w:val="ListParagraph"/>
    <w:uiPriority w:val="34"/>
    <w:rsid w:val="00F71BA3"/>
    <w:rPr>
      <w:rFonts w:ascii="Univers Com 45 Light" w:hAnsi="Univers Com 45 Light"/>
      <w:color w:val="414141"/>
      <w:lang w:val="en-GB" w:eastAsia="en-US" w:bidi="en-US"/>
    </w:rPr>
  </w:style>
  <w:style w:type="table" w:styleId="TableGridLight">
    <w:name w:val="Grid Table Light"/>
    <w:basedOn w:val="TableNormal"/>
    <w:uiPriority w:val="40"/>
    <w:rsid w:val="009367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6239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f01">
    <w:name w:val="cf01"/>
    <w:basedOn w:val="DefaultParagraphFont"/>
    <w:rsid w:val="00F20B3B"/>
    <w:rPr>
      <w:rFonts w:ascii="Segoe UI" w:hAnsi="Segoe UI" w:cs="Segoe UI" w:hint="default"/>
      <w:sz w:val="18"/>
      <w:szCs w:val="18"/>
    </w:rPr>
  </w:style>
  <w:style w:type="paragraph" w:styleId="Revision">
    <w:name w:val="Revision"/>
    <w:hidden/>
    <w:uiPriority w:val="99"/>
    <w:semiHidden/>
    <w:rsid w:val="00852F10"/>
    <w:rPr>
      <w:rFonts w:asciiTheme="minorHAnsi" w:hAnsiTheme="minorHAnsi"/>
      <w:color w:val="000000" w:themeColor="text1"/>
      <w:sz w:val="22"/>
      <w:szCs w:val="22"/>
      <w:lang w:eastAsia="en-US"/>
    </w:rPr>
  </w:style>
  <w:style w:type="paragraph" w:customStyle="1" w:styleId="2ndlevelbullet">
    <w:name w:val="2nd level bullet"/>
    <w:basedOn w:val="ListParagraph"/>
    <w:qFormat/>
    <w:rsid w:val="00E538BB"/>
    <w:pPr>
      <w:numPr>
        <w:numId w:val="38"/>
      </w:numPr>
      <w:tabs>
        <w:tab w:val="clear" w:pos="4513"/>
        <w:tab w:val="clear" w:pos="9026"/>
      </w:tabs>
      <w:spacing w:after="240" w:line="312" w:lineRule="auto"/>
      <w:ind w:left="709" w:hanging="357"/>
      <w:contextualSpacing w:val="0"/>
    </w:pPr>
    <w:rPr>
      <w:rFonts w:asciiTheme="minorHAnsi" w:hAnsiTheme="minorHAnsi"/>
      <w:color w:val="000000" w:themeColor="text1"/>
      <w:sz w:val="22"/>
      <w:szCs w:val="24"/>
      <w:lang w:val="en-AU" w:eastAsia="en-AU" w:bidi="ar-SA"/>
    </w:rPr>
  </w:style>
  <w:style w:type="paragraph" w:customStyle="1" w:styleId="pf0">
    <w:name w:val="pf0"/>
    <w:basedOn w:val="Normal"/>
    <w:rsid w:val="00C84C23"/>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Appendixheading">
    <w:name w:val="Appendix heading"/>
    <w:basedOn w:val="Heading1"/>
    <w:next w:val="Normal"/>
    <w:qFormat/>
    <w:rsid w:val="006A345D"/>
    <w:pPr>
      <w:numPr>
        <w:numId w:val="0"/>
      </w:numPr>
    </w:pPr>
  </w:style>
  <w:style w:type="paragraph" w:styleId="TableofFigures">
    <w:name w:val="table of figures"/>
    <w:basedOn w:val="Normal"/>
    <w:next w:val="Normal"/>
    <w:uiPriority w:val="99"/>
    <w:unhideWhenUsed/>
    <w:rsid w:val="00582D75"/>
    <w:pPr>
      <w:spacing w:after="0"/>
    </w:pPr>
  </w:style>
  <w:style w:type="paragraph" w:customStyle="1" w:styleId="StyleTableofFiguresLeft0cmHanging159cm">
    <w:name w:val="Style Table of Figures + Left:  0 cm Hanging:  1.59 cm"/>
    <w:basedOn w:val="TableofFigures"/>
    <w:rsid w:val="009A3590"/>
    <w:pPr>
      <w:spacing w:after="120"/>
      <w:ind w:left="902" w:hanging="902"/>
    </w:pPr>
    <w:rPr>
      <w:rFonts w:eastAsia="Times New Roman"/>
      <w:szCs w:val="20"/>
    </w:rPr>
  </w:style>
  <w:style w:type="paragraph" w:customStyle="1" w:styleId="listoftables">
    <w:name w:val="list of tables"/>
    <w:qFormat/>
    <w:rsid w:val="00C43484"/>
    <w:pPr>
      <w:tabs>
        <w:tab w:val="right" w:pos="9344"/>
      </w:tabs>
      <w:spacing w:after="120"/>
      <w:ind w:left="851" w:hanging="851"/>
    </w:pPr>
    <w:rPr>
      <w:rFonts w:asciiTheme="minorHAnsi" w:hAnsiTheme="minorHAnsi"/>
      <w:noProof/>
      <w:sz w:val="22"/>
      <w:szCs w:val="22"/>
      <w:lang w:eastAsia="en-US"/>
    </w:rPr>
  </w:style>
  <w:style w:type="table" w:styleId="ListTable2-Accent1">
    <w:name w:val="List Table 2 Accent 1"/>
    <w:basedOn w:val="TableNormal"/>
    <w:uiPriority w:val="47"/>
    <w:rsid w:val="000835D9"/>
    <w:tblPr>
      <w:tblStyleRowBandSize w:val="1"/>
      <w:tblStyleColBandSize w:val="1"/>
      <w:tblBorders>
        <w:top w:val="single" w:sz="4" w:space="0" w:color="F9B8A3" w:themeColor="accent1" w:themeTint="99"/>
        <w:bottom w:val="single" w:sz="4" w:space="0" w:color="F9B8A3" w:themeColor="accent1" w:themeTint="99"/>
        <w:insideH w:val="single" w:sz="4" w:space="0" w:color="F9B8A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7E0" w:themeFill="accent1" w:themeFillTint="33"/>
      </w:tcPr>
    </w:tblStylePr>
    <w:tblStylePr w:type="band1Horz">
      <w:tblPr/>
      <w:tcPr>
        <w:shd w:val="clear" w:color="auto" w:fill="FDE7E0" w:themeFill="accent1" w:themeFillTint="33"/>
      </w:tcPr>
    </w:tblStylePr>
  </w:style>
  <w:style w:type="table" w:styleId="GridTable4-Accent1">
    <w:name w:val="Grid Table 4 Accent 1"/>
    <w:basedOn w:val="TableNormal"/>
    <w:uiPriority w:val="49"/>
    <w:rsid w:val="000835D9"/>
    <w:tblPr>
      <w:tblStyleRowBandSize w:val="1"/>
      <w:tblStyleColBandSize w:val="1"/>
      <w:tblBorders>
        <w:top w:val="single" w:sz="4" w:space="0" w:color="F9B8A3" w:themeColor="accent1" w:themeTint="99"/>
        <w:left w:val="single" w:sz="4" w:space="0" w:color="F9B8A3" w:themeColor="accent1" w:themeTint="99"/>
        <w:bottom w:val="single" w:sz="4" w:space="0" w:color="F9B8A3" w:themeColor="accent1" w:themeTint="99"/>
        <w:right w:val="single" w:sz="4" w:space="0" w:color="F9B8A3" w:themeColor="accent1" w:themeTint="99"/>
        <w:insideH w:val="single" w:sz="4" w:space="0" w:color="F9B8A3" w:themeColor="accent1" w:themeTint="99"/>
        <w:insideV w:val="single" w:sz="4" w:space="0" w:color="F9B8A3" w:themeColor="accent1" w:themeTint="99"/>
      </w:tblBorders>
    </w:tblPr>
    <w:tblStylePr w:type="firstRow">
      <w:rPr>
        <w:b/>
        <w:bCs/>
        <w:color w:val="FFFFFF" w:themeColor="background1"/>
      </w:rPr>
      <w:tblPr/>
      <w:tcPr>
        <w:tcBorders>
          <w:top w:val="single" w:sz="4" w:space="0" w:color="F58967" w:themeColor="accent1"/>
          <w:left w:val="single" w:sz="4" w:space="0" w:color="F58967" w:themeColor="accent1"/>
          <w:bottom w:val="single" w:sz="4" w:space="0" w:color="F58967" w:themeColor="accent1"/>
          <w:right w:val="single" w:sz="4" w:space="0" w:color="F58967" w:themeColor="accent1"/>
          <w:insideH w:val="nil"/>
          <w:insideV w:val="nil"/>
        </w:tcBorders>
        <w:shd w:val="clear" w:color="auto" w:fill="F58967" w:themeFill="accent1"/>
      </w:tcPr>
    </w:tblStylePr>
    <w:tblStylePr w:type="lastRow">
      <w:rPr>
        <w:b/>
        <w:bCs/>
      </w:rPr>
      <w:tblPr/>
      <w:tcPr>
        <w:tcBorders>
          <w:top w:val="double" w:sz="4" w:space="0" w:color="F58967" w:themeColor="accent1"/>
        </w:tcBorders>
      </w:tcPr>
    </w:tblStylePr>
    <w:tblStylePr w:type="firstCol">
      <w:rPr>
        <w:b/>
        <w:bCs/>
      </w:rPr>
    </w:tblStylePr>
    <w:tblStylePr w:type="lastCol">
      <w:rPr>
        <w:b/>
        <w:bCs/>
      </w:rPr>
    </w:tblStylePr>
    <w:tblStylePr w:type="band1Vert">
      <w:tblPr/>
      <w:tcPr>
        <w:shd w:val="clear" w:color="auto" w:fill="FDE7E0" w:themeFill="accent1" w:themeFillTint="33"/>
      </w:tcPr>
    </w:tblStylePr>
    <w:tblStylePr w:type="band1Horz">
      <w:tblPr/>
      <w:tcPr>
        <w:shd w:val="clear" w:color="auto" w:fill="FDE7E0" w:themeFill="accent1" w:themeFillTint="33"/>
      </w:tcPr>
    </w:tblStylePr>
  </w:style>
  <w:style w:type="numbering" w:customStyle="1" w:styleId="CurrentList1">
    <w:name w:val="Current List1"/>
    <w:uiPriority w:val="99"/>
    <w:rsid w:val="00C86074"/>
    <w:pPr>
      <w:numPr>
        <w:numId w:val="9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3711">
      <w:bodyDiv w:val="1"/>
      <w:marLeft w:val="0"/>
      <w:marRight w:val="0"/>
      <w:marTop w:val="0"/>
      <w:marBottom w:val="0"/>
      <w:divBdr>
        <w:top w:val="none" w:sz="0" w:space="0" w:color="auto"/>
        <w:left w:val="none" w:sz="0" w:space="0" w:color="auto"/>
        <w:bottom w:val="none" w:sz="0" w:space="0" w:color="auto"/>
        <w:right w:val="none" w:sz="0" w:space="0" w:color="auto"/>
      </w:divBdr>
      <w:divsChild>
        <w:div w:id="1533759814">
          <w:marLeft w:val="850"/>
          <w:marRight w:val="0"/>
          <w:marTop w:val="0"/>
          <w:marBottom w:val="160"/>
          <w:divBdr>
            <w:top w:val="none" w:sz="0" w:space="0" w:color="auto"/>
            <w:left w:val="none" w:sz="0" w:space="0" w:color="auto"/>
            <w:bottom w:val="none" w:sz="0" w:space="0" w:color="auto"/>
            <w:right w:val="none" w:sz="0" w:space="0" w:color="auto"/>
          </w:divBdr>
        </w:div>
        <w:div w:id="1821535802">
          <w:marLeft w:val="562"/>
          <w:marRight w:val="0"/>
          <w:marTop w:val="0"/>
          <w:marBottom w:val="160"/>
          <w:divBdr>
            <w:top w:val="none" w:sz="0" w:space="0" w:color="auto"/>
            <w:left w:val="none" w:sz="0" w:space="0" w:color="auto"/>
            <w:bottom w:val="none" w:sz="0" w:space="0" w:color="auto"/>
            <w:right w:val="none" w:sz="0" w:space="0" w:color="auto"/>
          </w:divBdr>
        </w:div>
      </w:divsChild>
    </w:div>
    <w:div w:id="326128921">
      <w:bodyDiv w:val="1"/>
      <w:marLeft w:val="0"/>
      <w:marRight w:val="0"/>
      <w:marTop w:val="0"/>
      <w:marBottom w:val="0"/>
      <w:divBdr>
        <w:top w:val="none" w:sz="0" w:space="0" w:color="auto"/>
        <w:left w:val="none" w:sz="0" w:space="0" w:color="auto"/>
        <w:bottom w:val="none" w:sz="0" w:space="0" w:color="auto"/>
        <w:right w:val="none" w:sz="0" w:space="0" w:color="auto"/>
      </w:divBdr>
    </w:div>
    <w:div w:id="427316773">
      <w:bodyDiv w:val="1"/>
      <w:marLeft w:val="0"/>
      <w:marRight w:val="0"/>
      <w:marTop w:val="0"/>
      <w:marBottom w:val="0"/>
      <w:divBdr>
        <w:top w:val="none" w:sz="0" w:space="0" w:color="auto"/>
        <w:left w:val="none" w:sz="0" w:space="0" w:color="auto"/>
        <w:bottom w:val="none" w:sz="0" w:space="0" w:color="auto"/>
        <w:right w:val="none" w:sz="0" w:space="0" w:color="auto"/>
      </w:divBdr>
    </w:div>
    <w:div w:id="461653328">
      <w:bodyDiv w:val="1"/>
      <w:marLeft w:val="0"/>
      <w:marRight w:val="0"/>
      <w:marTop w:val="0"/>
      <w:marBottom w:val="0"/>
      <w:divBdr>
        <w:top w:val="none" w:sz="0" w:space="0" w:color="auto"/>
        <w:left w:val="none" w:sz="0" w:space="0" w:color="auto"/>
        <w:bottom w:val="none" w:sz="0" w:space="0" w:color="auto"/>
        <w:right w:val="none" w:sz="0" w:space="0" w:color="auto"/>
      </w:divBdr>
    </w:div>
    <w:div w:id="842279016">
      <w:bodyDiv w:val="1"/>
      <w:marLeft w:val="0"/>
      <w:marRight w:val="0"/>
      <w:marTop w:val="0"/>
      <w:marBottom w:val="0"/>
      <w:divBdr>
        <w:top w:val="none" w:sz="0" w:space="0" w:color="auto"/>
        <w:left w:val="none" w:sz="0" w:space="0" w:color="auto"/>
        <w:bottom w:val="none" w:sz="0" w:space="0" w:color="auto"/>
        <w:right w:val="none" w:sz="0" w:space="0" w:color="auto"/>
      </w:divBdr>
      <w:divsChild>
        <w:div w:id="1767188044">
          <w:marLeft w:val="850"/>
          <w:marRight w:val="0"/>
          <w:marTop w:val="0"/>
          <w:marBottom w:val="160"/>
          <w:divBdr>
            <w:top w:val="none" w:sz="0" w:space="0" w:color="auto"/>
            <w:left w:val="none" w:sz="0" w:space="0" w:color="auto"/>
            <w:bottom w:val="none" w:sz="0" w:space="0" w:color="auto"/>
            <w:right w:val="none" w:sz="0" w:space="0" w:color="auto"/>
          </w:divBdr>
        </w:div>
        <w:div w:id="2141611052">
          <w:marLeft w:val="562"/>
          <w:marRight w:val="0"/>
          <w:marTop w:val="0"/>
          <w:marBottom w:val="160"/>
          <w:divBdr>
            <w:top w:val="none" w:sz="0" w:space="0" w:color="auto"/>
            <w:left w:val="none" w:sz="0" w:space="0" w:color="auto"/>
            <w:bottom w:val="none" w:sz="0" w:space="0" w:color="auto"/>
            <w:right w:val="none" w:sz="0" w:space="0" w:color="auto"/>
          </w:divBdr>
        </w:div>
      </w:divsChild>
    </w:div>
    <w:div w:id="869956525">
      <w:bodyDiv w:val="1"/>
      <w:marLeft w:val="0"/>
      <w:marRight w:val="0"/>
      <w:marTop w:val="0"/>
      <w:marBottom w:val="0"/>
      <w:divBdr>
        <w:top w:val="none" w:sz="0" w:space="0" w:color="auto"/>
        <w:left w:val="none" w:sz="0" w:space="0" w:color="auto"/>
        <w:bottom w:val="none" w:sz="0" w:space="0" w:color="auto"/>
        <w:right w:val="none" w:sz="0" w:space="0" w:color="auto"/>
      </w:divBdr>
    </w:div>
    <w:div w:id="960768873">
      <w:bodyDiv w:val="1"/>
      <w:marLeft w:val="0"/>
      <w:marRight w:val="0"/>
      <w:marTop w:val="0"/>
      <w:marBottom w:val="0"/>
      <w:divBdr>
        <w:top w:val="none" w:sz="0" w:space="0" w:color="auto"/>
        <w:left w:val="none" w:sz="0" w:space="0" w:color="auto"/>
        <w:bottom w:val="none" w:sz="0" w:space="0" w:color="auto"/>
        <w:right w:val="none" w:sz="0" w:space="0" w:color="auto"/>
      </w:divBdr>
    </w:div>
    <w:div w:id="1254587277">
      <w:bodyDiv w:val="1"/>
      <w:marLeft w:val="0"/>
      <w:marRight w:val="0"/>
      <w:marTop w:val="0"/>
      <w:marBottom w:val="0"/>
      <w:divBdr>
        <w:top w:val="none" w:sz="0" w:space="0" w:color="auto"/>
        <w:left w:val="none" w:sz="0" w:space="0" w:color="auto"/>
        <w:bottom w:val="none" w:sz="0" w:space="0" w:color="auto"/>
        <w:right w:val="none" w:sz="0" w:space="0" w:color="auto"/>
      </w:divBdr>
    </w:div>
    <w:div w:id="1270892324">
      <w:bodyDiv w:val="1"/>
      <w:marLeft w:val="0"/>
      <w:marRight w:val="0"/>
      <w:marTop w:val="0"/>
      <w:marBottom w:val="0"/>
      <w:divBdr>
        <w:top w:val="none" w:sz="0" w:space="0" w:color="auto"/>
        <w:left w:val="none" w:sz="0" w:space="0" w:color="auto"/>
        <w:bottom w:val="none" w:sz="0" w:space="0" w:color="auto"/>
        <w:right w:val="none" w:sz="0" w:space="0" w:color="auto"/>
      </w:divBdr>
    </w:div>
    <w:div w:id="1271162080">
      <w:bodyDiv w:val="1"/>
      <w:marLeft w:val="0"/>
      <w:marRight w:val="0"/>
      <w:marTop w:val="0"/>
      <w:marBottom w:val="0"/>
      <w:divBdr>
        <w:top w:val="none" w:sz="0" w:space="0" w:color="auto"/>
        <w:left w:val="none" w:sz="0" w:space="0" w:color="auto"/>
        <w:bottom w:val="none" w:sz="0" w:space="0" w:color="auto"/>
        <w:right w:val="none" w:sz="0" w:space="0" w:color="auto"/>
      </w:divBdr>
    </w:div>
    <w:div w:id="1854488059">
      <w:bodyDiv w:val="1"/>
      <w:marLeft w:val="0"/>
      <w:marRight w:val="0"/>
      <w:marTop w:val="0"/>
      <w:marBottom w:val="0"/>
      <w:divBdr>
        <w:top w:val="none" w:sz="0" w:space="0" w:color="auto"/>
        <w:left w:val="none" w:sz="0" w:space="0" w:color="auto"/>
        <w:bottom w:val="none" w:sz="0" w:space="0" w:color="auto"/>
        <w:right w:val="none" w:sz="0" w:space="0" w:color="auto"/>
      </w:divBdr>
    </w:div>
    <w:div w:id="1855267655">
      <w:bodyDiv w:val="1"/>
      <w:marLeft w:val="0"/>
      <w:marRight w:val="0"/>
      <w:marTop w:val="0"/>
      <w:marBottom w:val="0"/>
      <w:divBdr>
        <w:top w:val="none" w:sz="0" w:space="0" w:color="auto"/>
        <w:left w:val="none" w:sz="0" w:space="0" w:color="auto"/>
        <w:bottom w:val="none" w:sz="0" w:space="0" w:color="auto"/>
        <w:right w:val="none" w:sz="0" w:space="0" w:color="auto"/>
      </w:divBdr>
    </w:div>
    <w:div w:id="1875266239">
      <w:bodyDiv w:val="1"/>
      <w:marLeft w:val="0"/>
      <w:marRight w:val="0"/>
      <w:marTop w:val="0"/>
      <w:marBottom w:val="0"/>
      <w:divBdr>
        <w:top w:val="none" w:sz="0" w:space="0" w:color="auto"/>
        <w:left w:val="none" w:sz="0" w:space="0" w:color="auto"/>
        <w:bottom w:val="none" w:sz="0" w:space="0" w:color="auto"/>
        <w:right w:val="none" w:sz="0" w:space="0" w:color="auto"/>
      </w:divBdr>
    </w:div>
    <w:div w:id="1967856557">
      <w:bodyDiv w:val="1"/>
      <w:marLeft w:val="0"/>
      <w:marRight w:val="0"/>
      <w:marTop w:val="0"/>
      <w:marBottom w:val="0"/>
      <w:divBdr>
        <w:top w:val="none" w:sz="0" w:space="0" w:color="auto"/>
        <w:left w:val="none" w:sz="0" w:space="0" w:color="auto"/>
        <w:bottom w:val="none" w:sz="0" w:space="0" w:color="auto"/>
        <w:right w:val="none" w:sz="0" w:space="0" w:color="auto"/>
      </w:divBdr>
    </w:div>
    <w:div w:id="1992244393">
      <w:bodyDiv w:val="1"/>
      <w:marLeft w:val="0"/>
      <w:marRight w:val="0"/>
      <w:marTop w:val="0"/>
      <w:marBottom w:val="0"/>
      <w:divBdr>
        <w:top w:val="none" w:sz="0" w:space="0" w:color="auto"/>
        <w:left w:val="none" w:sz="0" w:space="0" w:color="auto"/>
        <w:bottom w:val="none" w:sz="0" w:space="0" w:color="auto"/>
        <w:right w:val="none" w:sz="0" w:space="0" w:color="auto"/>
      </w:divBdr>
    </w:div>
    <w:div w:id="210576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W:\Projects\Closed\FED%20-%20DSS\J0656%20-%20R%20-%20DSS%20Safe%20Places%20engagement\CIRCA%20Report\J0656_DSS_SafePlaces_StakeholderFGs_FullReport_20231010.docx" TargetMode="External"/><Relationship Id="rId18" Type="http://schemas.openxmlformats.org/officeDocument/2006/relationships/hyperlink" Target="mailto:info@circaresearch.com.au"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lena@circaresearch.com.au"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engage.dss.gov.au/safe-places-emergency-accommodation-program-inclusion-round/safe-places-emergency-accommodation-program-inclusion-round-program-design-discussion-paper/"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info@circaresearch.com.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engage.dss.gov.au/safe-places-emergency-accommodation-program-inclusion-round/safe-places-emergency-accommodation-program-inclusion-round-program-design-discussion-pap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engage.dss.gov.au/safe-places-emergency-accommodation-program-inclusion-round/safe-places-emergency-accommodation-program-inclusion-round-program-design-discussion-paper/" TargetMode="Externa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mailto:lena@circaresearch.com.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mailto:SafePlaces@dss.gov.au" TargetMode="External"/><Relationship Id="rId27" Type="http://schemas.openxmlformats.org/officeDocument/2006/relationships/image" Target="media/image9.png"/><Relationship Id="rId30"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irca">
      <a:dk1>
        <a:srgbClr val="000000"/>
      </a:dk1>
      <a:lt1>
        <a:srgbClr val="FFFFFF"/>
      </a:lt1>
      <a:dk2>
        <a:srgbClr val="787878"/>
      </a:dk2>
      <a:lt2>
        <a:srgbClr val="DA291C"/>
      </a:lt2>
      <a:accent1>
        <a:srgbClr val="F58967"/>
      </a:accent1>
      <a:accent2>
        <a:srgbClr val="7E5749"/>
      </a:accent2>
      <a:accent3>
        <a:srgbClr val="9ACF8A"/>
      </a:accent3>
      <a:accent4>
        <a:srgbClr val="43B02A"/>
      </a:accent4>
      <a:accent5>
        <a:srgbClr val="7ACEE4"/>
      </a:accent5>
      <a:accent6>
        <a:srgbClr val="5A747D"/>
      </a:accent6>
      <a:hlink>
        <a:srgbClr val="787878"/>
      </a:hlink>
      <a:folHlink>
        <a:srgbClr val="414141"/>
      </a:folHlink>
    </a:clrScheme>
    <a:fontScheme name="Custom 2">
      <a:majorFont>
        <a:latin typeface="Koblenz Serial Light"/>
        <a:ea typeface=""/>
        <a:cs typeface=""/>
      </a:majorFont>
      <a:minorFont>
        <a:latin typeface="Univers Com 4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CBE60-71CC-4ECA-9575-01BE457B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57</Pages>
  <Words>14544</Words>
  <Characters>81567</Characters>
  <Application>Microsoft Office Word</Application>
  <DocSecurity>8</DocSecurity>
  <Lines>1684</Lines>
  <Paragraphs>818</Paragraphs>
  <ScaleCrop>false</ScaleCrop>
  <HeadingPairs>
    <vt:vector size="2" baseType="variant">
      <vt:variant>
        <vt:lpstr>Title</vt:lpstr>
      </vt:variant>
      <vt:variant>
        <vt:i4>1</vt:i4>
      </vt:variant>
    </vt:vector>
  </HeadingPairs>
  <TitlesOfParts>
    <vt:vector size="1" baseType="lpstr">
      <vt:lpstr>CIRCA_ReportTemplate_July2020</vt:lpstr>
    </vt:vector>
  </TitlesOfParts>
  <Company>Microtel</Company>
  <LinksUpToDate>false</LinksUpToDate>
  <CharactersWithSpaces>95621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CIRCA_ReportTemplate_July2020</dc:title>
  <dc:creator>Lena Etuk</dc:creator>
  <cp:keywords>[SEC=OFFICIAL]</cp:keywords>
  <cp:lastModifiedBy>THOMPSON, Eve</cp:lastModifiedBy>
  <cp:revision>15</cp:revision>
  <cp:lastPrinted>2023-05-03T23:36:00Z</cp:lastPrinted>
  <dcterms:created xsi:type="dcterms:W3CDTF">2023-10-10T22:54:00Z</dcterms:created>
  <dcterms:modified xsi:type="dcterms:W3CDTF">2023-10-13T02:12:00Z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CE83DAA7D1DE4304BF1A1FE71328D53D</vt:lpwstr>
  </property>
  <property fmtid="{D5CDD505-2E9C-101B-9397-08002B2CF9AE}" pid="9" name="PM_ProtectiveMarkingValue_Footer">
    <vt:lpwstr>OFFICIAL</vt:lpwstr>
  </property>
  <property fmtid="{D5CDD505-2E9C-101B-9397-08002B2CF9AE}" pid="10" name="PM_Originator_Hash_SHA1">
    <vt:lpwstr>6753C12EEC3F86362FE9165D75B7C1E6BAA0D5AF</vt:lpwstr>
  </property>
  <property fmtid="{D5CDD505-2E9C-101B-9397-08002B2CF9AE}" pid="11" name="PM_OriginationTimeStamp">
    <vt:lpwstr>2023-10-13T02:12:31Z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7397B466121F0B6BBA4BB5D5F7248AD9</vt:lpwstr>
  </property>
  <property fmtid="{D5CDD505-2E9C-101B-9397-08002B2CF9AE}" pid="21" name="PM_Hash_Salt">
    <vt:lpwstr>4582D7DECC1799DBA39EE029078F0B57</vt:lpwstr>
  </property>
  <property fmtid="{D5CDD505-2E9C-101B-9397-08002B2CF9AE}" pid="22" name="PM_Hash_SHA1">
    <vt:lpwstr>7F9BFF29AE43EF115E408E2D43A191BEE4823FBD</vt:lpwstr>
  </property>
  <property fmtid="{D5CDD505-2E9C-101B-9397-08002B2CF9AE}" pid="23" name="PM_OriginatorUserAccountName_SHA256">
    <vt:lpwstr>A021AEF22A5BFAB5ED0A03DC0FE04D26CE647F9C4BD313B4A83831C6EA676EF9</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GrammarlyDocumentId">
    <vt:lpwstr>49cb28afea8c2401d21d5fff7b5679a2e03b287987f0d351876a1f032bf672ab</vt:lpwstr>
  </property>
</Properties>
</file>