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C26A" w14:textId="77777777" w:rsidR="005D2C33" w:rsidRDefault="005D2C33" w:rsidP="005D2C33">
      <w:pPr>
        <w:pStyle w:val="CrestwithRule0"/>
        <w:sectPr w:rsidR="005D2C33" w:rsidSect="00634D7A">
          <w:headerReference w:type="default" r:id="rId11"/>
          <w:footerReference w:type="default" r:id="rId12"/>
          <w:footerReference w:type="first" r:id="rId13"/>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492B4B6C" wp14:editId="1CF939FD">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4"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281613CF" w14:textId="6DFF32DE" w:rsidR="005D2C33" w:rsidRPr="00AF6DAF" w:rsidRDefault="000651FF" w:rsidP="005D2C33">
      <w:pPr>
        <w:pStyle w:val="Heading1"/>
      </w:pPr>
      <w:r>
        <w:t>Section 33 Instrument</w:t>
      </w:r>
    </w:p>
    <w:p w14:paraId="7202A19F" w14:textId="7F399EA2" w:rsidR="005D2C33" w:rsidRPr="006B4F4F" w:rsidRDefault="000651FF" w:rsidP="005D2C33">
      <w:pPr>
        <w:pStyle w:val="Subtitle"/>
      </w:pPr>
      <w:r>
        <w:t>P</w:t>
      </w:r>
      <w:r w:rsidR="2CDD4AFF">
        <w:t xml:space="preserve">lain English </w:t>
      </w:r>
      <w:r>
        <w:t xml:space="preserve">Summary </w:t>
      </w:r>
    </w:p>
    <w:p w14:paraId="69FF5528" w14:textId="61A0F72B" w:rsidR="005D2C33" w:rsidRDefault="005D2C33" w:rsidP="005D2C33">
      <w:pPr>
        <w:pStyle w:val="Smalltext"/>
      </w:pPr>
      <w:r w:rsidRPr="00527EAE">
        <w:t xml:space="preserve">DSS </w:t>
      </w:r>
      <w:r w:rsidR="000651FF">
        <w:t>2024.09.25</w:t>
      </w:r>
    </w:p>
    <w:p w14:paraId="0372DE3D" w14:textId="77777777" w:rsidR="00520543" w:rsidRDefault="00520543" w:rsidP="005D2C33">
      <w:pPr>
        <w:pStyle w:val="Smalltext"/>
      </w:pPr>
    </w:p>
    <w:bookmarkEnd w:id="0"/>
    <w:bookmarkEnd w:id="1"/>
    <w:bookmarkEnd w:id="2"/>
    <w:bookmarkEnd w:id="3"/>
    <w:p w14:paraId="68C4838E" w14:textId="77777777" w:rsidR="00520543" w:rsidRDefault="00520543" w:rsidP="007E6A02">
      <w:pPr>
        <w:pStyle w:val="IntroductionQuote"/>
        <w:sectPr w:rsidR="00520543" w:rsidSect="00634D7A">
          <w:headerReference w:type="default" r:id="rId15"/>
          <w:type w:val="continuous"/>
          <w:pgSz w:w="11906" w:h="16838"/>
          <w:pgMar w:top="851" w:right="851" w:bottom="851" w:left="851" w:header="283" w:footer="283" w:gutter="0"/>
          <w:cols w:space="708"/>
          <w:docGrid w:linePitch="360"/>
        </w:sectPr>
      </w:pPr>
    </w:p>
    <w:p w14:paraId="4DEBD7F3" w14:textId="77777777" w:rsidR="005E0D2D" w:rsidRPr="005E0D2D" w:rsidRDefault="005E0D2D" w:rsidP="005E0D2D">
      <w:pPr>
        <w:rPr>
          <w:rFonts w:asciiTheme="majorHAnsi" w:eastAsiaTheme="majorEastAsia" w:hAnsiTheme="majorHAnsi" w:cstheme="majorBidi"/>
          <w:bCs/>
          <w:color w:val="005A70" w:themeColor="accent1"/>
          <w:sz w:val="40"/>
          <w:szCs w:val="26"/>
        </w:rPr>
      </w:pPr>
      <w:r w:rsidRPr="005E0D2D">
        <w:rPr>
          <w:rFonts w:asciiTheme="majorHAnsi" w:eastAsiaTheme="majorEastAsia" w:hAnsiTheme="majorHAnsi" w:cstheme="majorBidi"/>
          <w:bCs/>
          <w:color w:val="005A70" w:themeColor="accent1"/>
          <w:sz w:val="40"/>
          <w:szCs w:val="26"/>
        </w:rPr>
        <w:lastRenderedPageBreak/>
        <w:t>Section 33 Instrument – Summary</w:t>
      </w:r>
    </w:p>
    <w:p w14:paraId="5FBFE261" w14:textId="7BE6A86F" w:rsidR="000651FF" w:rsidRDefault="257CA3F5" w:rsidP="41917361">
      <w:pPr>
        <w:rPr>
          <w:i/>
          <w:iCs/>
        </w:rPr>
      </w:pPr>
      <w:r w:rsidRPr="41917361">
        <w:rPr>
          <w:i/>
          <w:iCs/>
        </w:rPr>
        <w:t xml:space="preserve">The National Disability Insurance Scheme Amendment (Getting the NDIS Back on Track No. 1) </w:t>
      </w:r>
      <w:r w:rsidR="2E102B78" w:rsidRPr="41917361">
        <w:rPr>
          <w:i/>
          <w:iCs/>
        </w:rPr>
        <w:t xml:space="preserve">Act </w:t>
      </w:r>
      <w:r w:rsidRPr="41917361">
        <w:rPr>
          <w:i/>
          <w:iCs/>
        </w:rPr>
        <w:t xml:space="preserve">2024 </w:t>
      </w:r>
      <w:r>
        <w:t>will commence on 3 October. We are calling it the</w:t>
      </w:r>
      <w:r w:rsidRPr="41917361">
        <w:rPr>
          <w:i/>
          <w:iCs/>
        </w:rPr>
        <w:t xml:space="preserve"> </w:t>
      </w:r>
      <w:r w:rsidR="78054FF7" w:rsidRPr="41917361">
        <w:rPr>
          <w:i/>
          <w:iCs/>
        </w:rPr>
        <w:t>‘</w:t>
      </w:r>
      <w:r w:rsidRPr="41917361">
        <w:rPr>
          <w:i/>
          <w:iCs/>
        </w:rPr>
        <w:t>Amending Act’</w:t>
      </w:r>
      <w:r w:rsidR="00AA189F" w:rsidRPr="41917361">
        <w:rPr>
          <w:i/>
          <w:iCs/>
        </w:rPr>
        <w:t>.</w:t>
      </w:r>
    </w:p>
    <w:p w14:paraId="5F5C8B16" w14:textId="6FE2EF41" w:rsidR="000651FF" w:rsidRDefault="257CA3F5" w:rsidP="000651FF">
      <w:r>
        <w:t xml:space="preserve">The Amending Act introduces the idea of funding amounts, funding components and funding periods and allows </w:t>
      </w:r>
      <w:r w:rsidR="3411B96B">
        <w:t>the Minister</w:t>
      </w:r>
      <w:r>
        <w:t xml:space="preserve"> to make a new instrument under section 33(2E), that will set up how they will work </w:t>
      </w:r>
      <w:r w:rsidR="3411B96B">
        <w:t>for current</w:t>
      </w:r>
      <w:r>
        <w:t xml:space="preserve"> plans. </w:t>
      </w:r>
      <w:r w:rsidR="3411B96B">
        <w:t>Current plans are referred to as o</w:t>
      </w:r>
      <w:r>
        <w:t xml:space="preserve">ld framework plans </w:t>
      </w:r>
      <w:r w:rsidR="3411B96B">
        <w:t>in the</w:t>
      </w:r>
      <w:r>
        <w:t xml:space="preserve"> Amending Act.</w:t>
      </w:r>
    </w:p>
    <w:p w14:paraId="5FB1919A" w14:textId="70F9BD5A" w:rsidR="40D5B0FC" w:rsidRDefault="40D5B0FC">
      <w:r>
        <w:t xml:space="preserve"> Staff from the National Disability Insurance Agency (NDIA) have been speaking with participants, people with disability and disability sector representatives since May 2024 about section 33. Key feedback suggested improvements to the planning process to ensure the NDIA get total plan funding right would support the implementation of the section 33 instrument.</w:t>
      </w:r>
    </w:p>
    <w:p w14:paraId="40BD349D" w14:textId="27A714D1" w:rsidR="001D6FAF" w:rsidRPr="001D6FAF" w:rsidRDefault="06DF53E4" w:rsidP="00A03B42">
      <w:pPr>
        <w:rPr>
          <w:rFonts w:cs="Arial"/>
        </w:rPr>
      </w:pPr>
      <w:r w:rsidRPr="25DEF3C9">
        <w:rPr>
          <w:rFonts w:cs="Arial"/>
        </w:rPr>
        <w:t xml:space="preserve">The NDIA CEO has recently communicated to all participants </w:t>
      </w:r>
      <w:r w:rsidR="511390F3" w:rsidRPr="25DEF3C9">
        <w:rPr>
          <w:rFonts w:cs="Arial"/>
        </w:rPr>
        <w:t xml:space="preserve">about the changes - </w:t>
      </w:r>
      <w:hyperlink r:id="rId16" w:history="1">
        <w:r w:rsidR="511390F3" w:rsidRPr="25DEF3C9">
          <w:rPr>
            <w:rStyle w:val="Hyperlink"/>
            <w:rFonts w:cs="Arial"/>
          </w:rPr>
          <w:t>A message from the CEO about changes to NDIS legislation | NDIS</w:t>
        </w:r>
      </w:hyperlink>
      <w:r w:rsidR="67E1567E" w:rsidRPr="25DEF3C9">
        <w:rPr>
          <w:rFonts w:cs="Arial"/>
        </w:rPr>
        <w:t xml:space="preserve">. </w:t>
      </w:r>
      <w:r w:rsidRPr="25DEF3C9">
        <w:rPr>
          <w:rFonts w:cs="Arial"/>
        </w:rPr>
        <w:t xml:space="preserve">If </w:t>
      </w:r>
      <w:r w:rsidR="67E1567E" w:rsidRPr="25DEF3C9">
        <w:rPr>
          <w:rFonts w:cs="Arial"/>
        </w:rPr>
        <w:t>a participant’s</w:t>
      </w:r>
      <w:r w:rsidRPr="25DEF3C9">
        <w:rPr>
          <w:rFonts w:cs="Arial"/>
        </w:rPr>
        <w:t xml:space="preserve"> plan is reviewed after 3 October 2024, </w:t>
      </w:r>
      <w:r w:rsidR="67E1567E" w:rsidRPr="25DEF3C9">
        <w:rPr>
          <w:rFonts w:cs="Arial"/>
        </w:rPr>
        <w:t xml:space="preserve">the </w:t>
      </w:r>
      <w:r w:rsidRPr="25DEF3C9">
        <w:rPr>
          <w:rFonts w:cs="Arial"/>
        </w:rPr>
        <w:t>new plan will have a total budget amount</w:t>
      </w:r>
      <w:r w:rsidR="44A03DA6" w:rsidRPr="25DEF3C9">
        <w:rPr>
          <w:rFonts w:cs="Arial"/>
        </w:rPr>
        <w:t xml:space="preserve"> and</w:t>
      </w:r>
      <w:r w:rsidR="5617B16E" w:rsidRPr="25DEF3C9">
        <w:rPr>
          <w:rFonts w:cs="Arial"/>
        </w:rPr>
        <w:t xml:space="preserve"> </w:t>
      </w:r>
      <w:r w:rsidRPr="25DEF3C9">
        <w:rPr>
          <w:rFonts w:cs="Arial"/>
        </w:rPr>
        <w:t>will be 12 months</w:t>
      </w:r>
      <w:r w:rsidR="6B73AD01" w:rsidRPr="25DEF3C9">
        <w:rPr>
          <w:rFonts w:cs="Arial"/>
        </w:rPr>
        <w:t xml:space="preserve"> in duration</w:t>
      </w:r>
      <w:r w:rsidRPr="25DEF3C9">
        <w:rPr>
          <w:rFonts w:cs="Arial"/>
        </w:rPr>
        <w:t>. In the future, most people’s plans will go for longer than this</w:t>
      </w:r>
      <w:r w:rsidR="5617B16E" w:rsidRPr="25DEF3C9">
        <w:rPr>
          <w:rFonts w:cs="Arial"/>
        </w:rPr>
        <w:t xml:space="preserve"> and the NDIA</w:t>
      </w:r>
      <w:r w:rsidRPr="25DEF3C9">
        <w:rPr>
          <w:rFonts w:cs="Arial"/>
        </w:rPr>
        <w:t xml:space="preserve"> will let </w:t>
      </w:r>
      <w:r w:rsidR="5617B16E" w:rsidRPr="25DEF3C9">
        <w:rPr>
          <w:rFonts w:cs="Arial"/>
        </w:rPr>
        <w:t xml:space="preserve">people </w:t>
      </w:r>
      <w:r w:rsidRPr="75C339DC">
        <w:rPr>
          <w:rFonts w:cs="Arial"/>
        </w:rPr>
        <w:t>know as soon as this change</w:t>
      </w:r>
      <w:r w:rsidR="3ECE080C" w:rsidRPr="75C339DC">
        <w:rPr>
          <w:rFonts w:cs="Arial"/>
        </w:rPr>
        <w:t xml:space="preserve"> begins</w:t>
      </w:r>
      <w:r w:rsidRPr="25DEF3C9">
        <w:rPr>
          <w:rFonts w:cs="Arial"/>
        </w:rPr>
        <w:t>.</w:t>
      </w:r>
    </w:p>
    <w:p w14:paraId="7C50C1C0" w14:textId="7BCFF4CD" w:rsidR="000651FF" w:rsidRDefault="69AB8C81" w:rsidP="000651FF">
      <w:r>
        <w:t xml:space="preserve">The new section 33 instrument is intended to help participants understand the process of planning and have a clearer idea about what funding amounts are available in their plan. </w:t>
      </w:r>
      <w:r w:rsidR="4D93DC7C">
        <w:t>It will</w:t>
      </w:r>
      <w:r w:rsidR="4AE52873">
        <w:t xml:space="preserve"> </w:t>
      </w:r>
      <w:r w:rsidR="6FE30BDC">
        <w:t xml:space="preserve">complement </w:t>
      </w:r>
      <w:r w:rsidR="7A67520B">
        <w:t xml:space="preserve">changes being </w:t>
      </w:r>
      <w:r w:rsidR="5E236204">
        <w:t xml:space="preserve">made to </w:t>
      </w:r>
      <w:r w:rsidR="257CA3F5">
        <w:t xml:space="preserve">assist participants, plan nominees and plan managers to understand and manage </w:t>
      </w:r>
      <w:r w:rsidR="0061127A">
        <w:t xml:space="preserve">NDIS </w:t>
      </w:r>
      <w:r w:rsidR="5E236204">
        <w:t>funding</w:t>
      </w:r>
      <w:r w:rsidR="257CA3F5">
        <w:t xml:space="preserve">. </w:t>
      </w:r>
    </w:p>
    <w:p w14:paraId="175F7F32" w14:textId="4FC1396C" w:rsidR="005E0D2D" w:rsidRPr="005E0D2D" w:rsidRDefault="2DC0086D" w:rsidP="75C339DC">
      <w:bookmarkStart w:id="4" w:name="_Hlk161409065"/>
      <w:r w:rsidRPr="75C339DC">
        <w:rPr>
          <w:rFonts w:asciiTheme="majorHAnsi" w:eastAsiaTheme="majorEastAsia" w:hAnsiTheme="majorHAnsi" w:cstheme="majorBidi"/>
          <w:b/>
          <w:bCs/>
          <w:color w:val="005A70" w:themeColor="accent1"/>
          <w:sz w:val="28"/>
          <w:szCs w:val="28"/>
        </w:rPr>
        <w:t>Total funding amounts</w:t>
      </w:r>
    </w:p>
    <w:p w14:paraId="494F4464" w14:textId="52CC0BBA" w:rsidR="005E0D2D" w:rsidRDefault="2DC0086D" w:rsidP="005E0D2D">
      <w:bookmarkStart w:id="5" w:name="_Heading_5"/>
      <w:bookmarkEnd w:id="4"/>
      <w:bookmarkEnd w:id="5"/>
      <w:r>
        <w:t xml:space="preserve">A participant’s total funding amount will be the total amount of funding available for all supports under the </w:t>
      </w:r>
      <w:proofErr w:type="gramStart"/>
      <w:r>
        <w:t>plan as a whole</w:t>
      </w:r>
      <w:proofErr w:type="gramEnd"/>
      <w:r>
        <w:t>. The total funding amount is worked out by totalling all funding components in a participant’s plan.</w:t>
      </w:r>
    </w:p>
    <w:p w14:paraId="34C6F801" w14:textId="77777777" w:rsidR="005E0D2D" w:rsidRPr="005E0D2D" w:rsidRDefault="005E0D2D" w:rsidP="005E0D2D">
      <w:pPr>
        <w:rPr>
          <w:rFonts w:asciiTheme="majorHAnsi" w:eastAsiaTheme="majorEastAsia" w:hAnsiTheme="majorHAnsi" w:cstheme="majorBidi"/>
          <w:b/>
          <w:bCs/>
          <w:iCs/>
          <w:color w:val="005A70" w:themeColor="accent1"/>
          <w:sz w:val="28"/>
        </w:rPr>
      </w:pPr>
      <w:r w:rsidRPr="005E0D2D">
        <w:rPr>
          <w:rFonts w:asciiTheme="majorHAnsi" w:eastAsiaTheme="majorEastAsia" w:hAnsiTheme="majorHAnsi" w:cstheme="majorBidi"/>
          <w:b/>
          <w:bCs/>
          <w:iCs/>
          <w:color w:val="005A70" w:themeColor="accent1"/>
          <w:sz w:val="28"/>
        </w:rPr>
        <w:t xml:space="preserve">Funding components </w:t>
      </w:r>
    </w:p>
    <w:p w14:paraId="69C39D69" w14:textId="4C6F6752" w:rsidR="005E0D2D" w:rsidRDefault="7BBA7225" w:rsidP="005E0D2D">
      <w:r>
        <w:t xml:space="preserve">Supports in </w:t>
      </w:r>
      <w:r w:rsidR="25685DD0">
        <w:t xml:space="preserve">a </w:t>
      </w:r>
      <w:r>
        <w:t>participant</w:t>
      </w:r>
      <w:r w:rsidR="25685DD0">
        <w:t>’s</w:t>
      </w:r>
      <w:r>
        <w:t xml:space="preserve"> plan will be grouped into one or more</w:t>
      </w:r>
      <w:r w:rsidR="065810BC">
        <w:t xml:space="preserve"> groups </w:t>
      </w:r>
      <w:r>
        <w:t>of supports called funding components. Each funding component will have a set budget for those supports</w:t>
      </w:r>
      <w:r w:rsidR="083930F6">
        <w:t>,</w:t>
      </w:r>
      <w:r>
        <w:t xml:space="preserve"> called funding component amounts.  </w:t>
      </w:r>
      <w:r w:rsidR="2C8E01DE">
        <w:t xml:space="preserve">These </w:t>
      </w:r>
      <w:r w:rsidR="543536CA">
        <w:t xml:space="preserve">will be </w:t>
      </w:r>
      <w:proofErr w:type="gramStart"/>
      <w:r w:rsidR="2C8E01DE">
        <w:t>similar to</w:t>
      </w:r>
      <w:proofErr w:type="gramEnd"/>
      <w:r w:rsidR="2C8E01DE">
        <w:t xml:space="preserve"> current categories of supports in participant plans. </w:t>
      </w:r>
      <w:r>
        <w:t>Each funding component amount is added together to provide participants with a total funding amount for their entire plan.</w:t>
      </w:r>
    </w:p>
    <w:p w14:paraId="2AC34348" w14:textId="77777777" w:rsidR="00BE035D" w:rsidRPr="00346B76" w:rsidRDefault="00BE035D" w:rsidP="41917361">
      <w:pPr>
        <w:keepNext/>
        <w:spacing w:line="276" w:lineRule="auto"/>
        <w:rPr>
          <w:rFonts w:asciiTheme="majorHAnsi" w:eastAsia="Calibri" w:hAnsiTheme="majorHAnsi" w:cstheme="majorBidi"/>
          <w:spacing w:val="0"/>
          <w:kern w:val="2"/>
          <w14:ligatures w14:val="standardContextual"/>
        </w:rPr>
      </w:pPr>
      <w:r w:rsidRPr="41917361">
        <w:rPr>
          <w:rFonts w:asciiTheme="majorHAnsi" w:eastAsia="Calibri" w:hAnsiTheme="majorHAnsi" w:cstheme="majorBidi"/>
          <w:b/>
          <w:bCs/>
        </w:rPr>
        <w:t>Working out the funding component</w:t>
      </w:r>
      <w:r w:rsidRPr="41917361">
        <w:rPr>
          <w:rFonts w:asciiTheme="majorHAnsi" w:eastAsia="Calibri" w:hAnsiTheme="majorHAnsi" w:cstheme="majorBidi"/>
          <w:b/>
          <w:bCs/>
          <w:spacing w:val="0"/>
          <w:kern w:val="2"/>
          <w14:ligatures w14:val="standardContextual"/>
        </w:rPr>
        <w:t xml:space="preserve"> amount for a group of supports</w:t>
      </w:r>
      <w:r w:rsidRPr="41917361">
        <w:rPr>
          <w:rFonts w:asciiTheme="majorHAnsi" w:eastAsia="Calibri" w:hAnsiTheme="majorHAnsi" w:cstheme="majorBidi"/>
          <w:spacing w:val="0"/>
          <w:kern w:val="2"/>
          <w14:ligatures w14:val="standardContextual"/>
        </w:rPr>
        <w:t> </w:t>
      </w:r>
    </w:p>
    <w:p w14:paraId="1FF8E1F9" w14:textId="77777777" w:rsidR="00BE035D" w:rsidRDefault="00BE035D" w:rsidP="00BE035D">
      <w:r>
        <w:t>When categorising reasonable and necessary supports into groups, this could be worked out by considering:</w:t>
      </w:r>
    </w:p>
    <w:p w14:paraId="2A01C581" w14:textId="77777777" w:rsidR="00BE035D" w:rsidRDefault="00BE035D" w:rsidP="00BE035D">
      <w:pPr>
        <w:pStyle w:val="ListParagraph"/>
        <w:ind w:left="720"/>
      </w:pPr>
      <w:r>
        <w:t xml:space="preserve">the nature of a participant’s supports </w:t>
      </w:r>
    </w:p>
    <w:p w14:paraId="2102BA9C" w14:textId="3D97E34A" w:rsidR="00BE035D" w:rsidRDefault="00BE035D" w:rsidP="00BE035D">
      <w:pPr>
        <w:pStyle w:val="ListParagraph"/>
        <w:ind w:left="720"/>
      </w:pPr>
      <w:r>
        <w:t xml:space="preserve">the cost of supports using the </w:t>
      </w:r>
      <w:r w:rsidR="0DAC35D6">
        <w:t xml:space="preserve">NDIS Pricing Arrangements and </w:t>
      </w:r>
      <w:r w:rsidR="6CBF7CC9">
        <w:t>Price</w:t>
      </w:r>
      <w:r w:rsidR="0DAC35D6">
        <w:t xml:space="preserve"> Limits 2024-25 </w:t>
      </w:r>
      <w:r>
        <w:t>(or a quote etc)</w:t>
      </w:r>
    </w:p>
    <w:p w14:paraId="00BDB6DC" w14:textId="77777777" w:rsidR="00BE035D" w:rsidRDefault="00BE035D" w:rsidP="00BE035D">
      <w:pPr>
        <w:pStyle w:val="ListParagraph"/>
        <w:ind w:left="720"/>
      </w:pPr>
      <w:r>
        <w:t xml:space="preserve">any requirements relating to the provision of the supports </w:t>
      </w:r>
    </w:p>
    <w:p w14:paraId="091CD4A4" w14:textId="77777777" w:rsidR="00BE035D" w:rsidRDefault="00BE035D" w:rsidP="00BE035D">
      <w:pPr>
        <w:pStyle w:val="ListParagraph"/>
        <w:ind w:left="720"/>
      </w:pPr>
      <w:r>
        <w:lastRenderedPageBreak/>
        <w:t>whether categorising the supports in a particular way would be a risk to the participant</w:t>
      </w:r>
    </w:p>
    <w:p w14:paraId="43AB6E7A" w14:textId="7AA29419" w:rsidR="00BE035D" w:rsidRDefault="00BE035D" w:rsidP="00BE035D">
      <w:pPr>
        <w:pStyle w:val="ListParagraph"/>
        <w:ind w:left="720"/>
      </w:pPr>
      <w:r>
        <w:t>the proposed management of funding for the relevant support under the plan</w:t>
      </w:r>
    </w:p>
    <w:p w14:paraId="3962C679" w14:textId="77777777" w:rsidR="00346B76" w:rsidRPr="00346B76" w:rsidRDefault="00346B76" w:rsidP="00346B76">
      <w:pPr>
        <w:rPr>
          <w:rFonts w:asciiTheme="majorHAnsi" w:eastAsiaTheme="majorEastAsia" w:hAnsiTheme="majorHAnsi" w:cstheme="majorBidi"/>
          <w:b/>
          <w:bCs/>
          <w:iCs/>
          <w:color w:val="005A70" w:themeColor="accent1"/>
          <w:sz w:val="28"/>
        </w:rPr>
      </w:pPr>
      <w:r w:rsidRPr="00346B76">
        <w:rPr>
          <w:rFonts w:asciiTheme="majorHAnsi" w:eastAsiaTheme="majorEastAsia" w:hAnsiTheme="majorHAnsi" w:cstheme="majorBidi"/>
          <w:b/>
          <w:bCs/>
          <w:iCs/>
          <w:color w:val="005A70" w:themeColor="accent1"/>
          <w:sz w:val="28"/>
        </w:rPr>
        <w:t>Funding Periods</w:t>
      </w:r>
    </w:p>
    <w:p w14:paraId="5280885B" w14:textId="59A17594" w:rsidR="00346B76" w:rsidRPr="005D436A" w:rsidRDefault="5AF4CE61" w:rsidP="41917361">
      <w:r>
        <w:t xml:space="preserve">Funding periods </w:t>
      </w:r>
      <w:r w:rsidR="0AE9E5D8">
        <w:t xml:space="preserve">are </w:t>
      </w:r>
      <w:r>
        <w:t xml:space="preserve">set </w:t>
      </w:r>
      <w:r w:rsidR="5E89ADC0">
        <w:t xml:space="preserve">amounts </w:t>
      </w:r>
      <w:r>
        <w:t xml:space="preserve">of time </w:t>
      </w:r>
      <w:r w:rsidR="625F70DE">
        <w:t>when</w:t>
      </w:r>
      <w:r>
        <w:t xml:space="preserve"> supports </w:t>
      </w:r>
      <w:r w:rsidR="66EF3C15">
        <w:t>can be used.</w:t>
      </w:r>
    </w:p>
    <w:p w14:paraId="27FBE0EE" w14:textId="798F4B6F" w:rsidR="00346B76" w:rsidRPr="005D436A" w:rsidRDefault="4229AAF1" w:rsidP="00346B76">
      <w:r>
        <w:t xml:space="preserve">Funding periods </w:t>
      </w:r>
      <w:r w:rsidR="25685DD0">
        <w:t xml:space="preserve">can </w:t>
      </w:r>
      <w:r>
        <w:t xml:space="preserve">be set for </w:t>
      </w:r>
      <w:r w:rsidR="25685DD0">
        <w:t xml:space="preserve">the </w:t>
      </w:r>
      <w:r>
        <w:t>total funding amount, and</w:t>
      </w:r>
      <w:r w:rsidR="4BFDF950">
        <w:t>/or</w:t>
      </w:r>
      <w:r>
        <w:t xml:space="preserve"> for groups of supports (funding component amounts). </w:t>
      </w:r>
    </w:p>
    <w:p w14:paraId="6BDEF730" w14:textId="78098161" w:rsidR="005E0D2D" w:rsidRDefault="4229AAF1" w:rsidP="41917361">
      <w:pPr>
        <w:rPr>
          <w:highlight w:val="yellow"/>
        </w:rPr>
      </w:pPr>
      <w:r>
        <w:t>Funding periods aim to assist participants to understand and manage their budgets over the length of their plan.</w:t>
      </w:r>
      <w:r w:rsidR="3D3FEBDE">
        <w:t xml:space="preserve"> </w:t>
      </w:r>
    </w:p>
    <w:p w14:paraId="33D291A2" w14:textId="77777777" w:rsidR="00346B76" w:rsidRPr="00346B76" w:rsidRDefault="5AF4CE61" w:rsidP="41917361">
      <w:pPr>
        <w:keepNext/>
        <w:spacing w:line="276" w:lineRule="auto"/>
        <w:rPr>
          <w:rFonts w:asciiTheme="majorHAnsi" w:eastAsia="Calibri" w:hAnsiTheme="majorHAnsi" w:cstheme="majorBidi"/>
          <w:b/>
          <w:bCs/>
          <w:spacing w:val="0"/>
          <w:kern w:val="2"/>
          <w14:ligatures w14:val="standardContextual"/>
        </w:rPr>
      </w:pPr>
      <w:r w:rsidRPr="41917361">
        <w:rPr>
          <w:rFonts w:asciiTheme="majorHAnsi" w:eastAsia="Calibri" w:hAnsiTheme="majorHAnsi" w:cstheme="majorBidi"/>
          <w:b/>
          <w:bCs/>
          <w:spacing w:val="0"/>
          <w:kern w:val="2"/>
          <w14:ligatures w14:val="standardContextual"/>
        </w:rPr>
        <w:t>Working out funding periods</w:t>
      </w:r>
    </w:p>
    <w:p w14:paraId="39BF5BD8" w14:textId="14A4F186" w:rsidR="00346B76" w:rsidRDefault="00346B76" w:rsidP="00346B76">
      <w:r>
        <w:t xml:space="preserve">When working out funding periods, the NDIA </w:t>
      </w:r>
      <w:r w:rsidR="00E3207F">
        <w:t>could consider</w:t>
      </w:r>
      <w:r>
        <w:t xml:space="preserve"> the following matters:</w:t>
      </w:r>
    </w:p>
    <w:p w14:paraId="7D334F3F" w14:textId="0DA84552" w:rsidR="00346B76" w:rsidRDefault="001C5262" w:rsidP="1F21D8C5">
      <w:pPr>
        <w:pStyle w:val="ListParagraph"/>
        <w:ind w:left="720"/>
      </w:pPr>
      <w:r>
        <w:t>p</w:t>
      </w:r>
      <w:r w:rsidR="00E37EEF">
        <w:t>revious spending by</w:t>
      </w:r>
      <w:r w:rsidR="00346B76">
        <w:t xml:space="preserve"> </w:t>
      </w:r>
      <w:r>
        <w:t>the</w:t>
      </w:r>
      <w:r w:rsidR="00346B76">
        <w:t xml:space="preserve"> participant, plan nominee or plan manager </w:t>
      </w:r>
    </w:p>
    <w:p w14:paraId="66D5B54F" w14:textId="696E5751" w:rsidR="00346B76" w:rsidRDefault="00346B76" w:rsidP="1F21D8C5">
      <w:pPr>
        <w:pStyle w:val="ListParagraph"/>
        <w:ind w:left="720"/>
      </w:pPr>
      <w:r>
        <w:t>whether a participant may be at risk of fraud or exploitation</w:t>
      </w:r>
    </w:p>
    <w:p w14:paraId="2F998DA3" w14:textId="2DD16AC5" w:rsidR="00346B76" w:rsidRDefault="00346B76" w:rsidP="1F21D8C5">
      <w:pPr>
        <w:pStyle w:val="ListParagraph"/>
        <w:ind w:left="720"/>
      </w:pPr>
      <w:r>
        <w:t>whether there is risk of the total funding in a participant plan being exceeded</w:t>
      </w:r>
    </w:p>
    <w:p w14:paraId="6F3CB139" w14:textId="56DFC61F" w:rsidR="00346B76" w:rsidRDefault="00346B76" w:rsidP="1F21D8C5">
      <w:pPr>
        <w:pStyle w:val="ListParagraph"/>
        <w:ind w:left="720"/>
      </w:pPr>
      <w:r>
        <w:t>the total funding amount for the plan</w:t>
      </w:r>
      <w:r w:rsidR="004F11A7">
        <w:t xml:space="preserve"> and </w:t>
      </w:r>
      <w:r>
        <w:t>nature and cost of supports in the plan</w:t>
      </w:r>
    </w:p>
    <w:p w14:paraId="0667BF56" w14:textId="5265AD7D" w:rsidR="00346B76" w:rsidRDefault="00346B76" w:rsidP="1F21D8C5">
      <w:pPr>
        <w:pStyle w:val="ListParagraph"/>
        <w:ind w:left="720"/>
      </w:pPr>
      <w:r>
        <w:t xml:space="preserve">whether the participant has requested a variation or reassessment of any of the participant’s plans more than once without </w:t>
      </w:r>
      <w:r w:rsidR="00AA755E">
        <w:t xml:space="preserve">providing information about </w:t>
      </w:r>
      <w:r>
        <w:t>a change of circumstances</w:t>
      </w:r>
    </w:p>
    <w:p w14:paraId="4E652EBB" w14:textId="06CBEDE7" w:rsidR="00346B76" w:rsidRPr="00346B76" w:rsidRDefault="5AF4CE61" w:rsidP="41917361">
      <w:pPr>
        <w:ind w:left="720"/>
        <w:rPr>
          <w:rFonts w:asciiTheme="majorHAnsi" w:eastAsia="Calibri" w:hAnsiTheme="majorHAnsi" w:cstheme="majorBidi"/>
          <w:b/>
          <w:bCs/>
          <w:spacing w:val="0"/>
          <w:kern w:val="2"/>
          <w14:ligatures w14:val="standardContextual"/>
        </w:rPr>
      </w:pPr>
      <w:r w:rsidRPr="41917361">
        <w:rPr>
          <w:rFonts w:asciiTheme="majorHAnsi" w:eastAsia="Calibri" w:hAnsiTheme="majorHAnsi" w:cstheme="majorBidi"/>
          <w:b/>
          <w:bCs/>
          <w:spacing w:val="0"/>
          <w:kern w:val="2"/>
          <w14:ligatures w14:val="standardContextual"/>
        </w:rPr>
        <w:t>Working out the start of</w:t>
      </w:r>
      <w:r w:rsidR="471A34F9" w:rsidRPr="41917361">
        <w:rPr>
          <w:rFonts w:asciiTheme="majorHAnsi" w:eastAsia="Calibri" w:hAnsiTheme="majorHAnsi" w:cstheme="majorBidi"/>
          <w:b/>
          <w:bCs/>
          <w:spacing w:val="0"/>
          <w:kern w:val="2"/>
          <w14:ligatures w14:val="standardContextual"/>
        </w:rPr>
        <w:t xml:space="preserve"> the</w:t>
      </w:r>
      <w:r w:rsidRPr="41917361">
        <w:rPr>
          <w:rFonts w:asciiTheme="majorHAnsi" w:eastAsia="Calibri" w:hAnsiTheme="majorHAnsi" w:cstheme="majorBidi"/>
          <w:b/>
          <w:bCs/>
          <w:spacing w:val="0"/>
          <w:kern w:val="2"/>
          <w14:ligatures w14:val="standardContextual"/>
        </w:rPr>
        <w:t xml:space="preserve"> first funding period  </w:t>
      </w:r>
    </w:p>
    <w:p w14:paraId="70539F2D" w14:textId="602D02FE" w:rsidR="00346B76" w:rsidRDefault="5AF4CE61" w:rsidP="00346B76">
      <w:r>
        <w:t>Funding periods can be for the total funding amount in a plan or for specific funding components. This means</w:t>
      </w:r>
      <w:r w:rsidR="310ED0EE">
        <w:t xml:space="preserve"> </w:t>
      </w:r>
      <w:r>
        <w:t>there may be different funding periods for different groups of supports if there is more than one group of a supports in a participant's plan.</w:t>
      </w:r>
    </w:p>
    <w:p w14:paraId="530E7078" w14:textId="77777777" w:rsidR="00346B76" w:rsidRDefault="00346B76" w:rsidP="00346B76">
      <w:r>
        <w:t>Funding periods for the total funding amount in the plan will start on the day the plan starts.</w:t>
      </w:r>
    </w:p>
    <w:p w14:paraId="494A7AC8" w14:textId="36925724" w:rsidR="00BE035D" w:rsidRDefault="5AF4CE61" w:rsidP="00BE035D">
      <w:pPr>
        <w:rPr>
          <w:b/>
          <w:bCs/>
        </w:rPr>
      </w:pPr>
      <w:r>
        <w:t>For plans with more than one funding period, the first funding period set out in the plan, will start on the day the plan starts</w:t>
      </w:r>
      <w:r w:rsidR="00BE035D" w:rsidRPr="41917361">
        <w:rPr>
          <w:b/>
          <w:bCs/>
        </w:rPr>
        <w:t xml:space="preserve"> </w:t>
      </w:r>
    </w:p>
    <w:p w14:paraId="777F61DC" w14:textId="4F90A716" w:rsidR="00BE035D" w:rsidRPr="00C9385D" w:rsidRDefault="00BE035D" w:rsidP="41917361">
      <w:pPr>
        <w:rPr>
          <w:rFonts w:asciiTheme="majorHAnsi" w:eastAsiaTheme="majorEastAsia" w:hAnsiTheme="majorHAnsi" w:cstheme="majorBidi"/>
          <w:b/>
          <w:bCs/>
          <w:color w:val="005A70" w:themeColor="accent1"/>
          <w:sz w:val="28"/>
          <w:szCs w:val="28"/>
        </w:rPr>
      </w:pPr>
      <w:r w:rsidRPr="41917361">
        <w:rPr>
          <w:rFonts w:asciiTheme="majorHAnsi" w:eastAsiaTheme="majorEastAsia" w:hAnsiTheme="majorHAnsi" w:cstheme="majorBidi"/>
          <w:b/>
          <w:bCs/>
          <w:color w:val="005A70" w:themeColor="accent1"/>
          <w:sz w:val="28"/>
          <w:szCs w:val="28"/>
        </w:rPr>
        <w:t>Making payments above a funding amount</w:t>
      </w:r>
    </w:p>
    <w:p w14:paraId="6CDA1D98" w14:textId="77777777" w:rsidR="00BE035D" w:rsidRDefault="00BE035D" w:rsidP="00BE035D">
      <w:r>
        <w:t>Under subsection 45(5), a participant can request additional funding where:</w:t>
      </w:r>
    </w:p>
    <w:p w14:paraId="06AE46FC" w14:textId="77777777" w:rsidR="00BE035D" w:rsidRDefault="00BE035D" w:rsidP="00BE035D">
      <w:pPr>
        <w:pStyle w:val="ListParagraph"/>
        <w:ind w:left="720"/>
      </w:pPr>
      <w:r>
        <w:t>the participant has experienced fraud or exploitation</w:t>
      </w:r>
    </w:p>
    <w:p w14:paraId="66E5E146" w14:textId="77777777" w:rsidR="00BE035D" w:rsidRDefault="00BE035D" w:rsidP="00BE035D">
      <w:pPr>
        <w:pStyle w:val="ListParagraph"/>
        <w:ind w:left="720"/>
      </w:pPr>
      <w:r>
        <w:t xml:space="preserve">making the payment is necessary to prevent or lessen an imminent threat to an individual’s life, health or safety </w:t>
      </w:r>
    </w:p>
    <w:p w14:paraId="1C002F52" w14:textId="77777777" w:rsidR="00BE035D" w:rsidRDefault="00BE035D" w:rsidP="00BE035D">
      <w:pPr>
        <w:pStyle w:val="ListParagraph"/>
        <w:ind w:left="720"/>
      </w:pPr>
      <w:r>
        <w:t>the participant has been unable to request a plan variation or reassessment because of their disability or lack of decision-making support</w:t>
      </w:r>
    </w:p>
    <w:p w14:paraId="4E241E0D" w14:textId="77777777" w:rsidR="00BE035D" w:rsidRDefault="00BE035D" w:rsidP="00BE035D">
      <w:pPr>
        <w:pStyle w:val="ListParagraph"/>
        <w:ind w:left="720"/>
      </w:pPr>
      <w:r>
        <w:t xml:space="preserve">a participant is waiting for a decision on a variation request for crisis or emergency funding </w:t>
      </w:r>
      <w:proofErr w:type="gramStart"/>
      <w:r>
        <w:t>as a result of</w:t>
      </w:r>
      <w:proofErr w:type="gramEnd"/>
      <w:r>
        <w:t xml:space="preserve"> a change in support needs and the CEO has not made a decision</w:t>
      </w:r>
    </w:p>
    <w:p w14:paraId="77B2220D" w14:textId="3054A8AB" w:rsidR="00346B76" w:rsidRDefault="00BE035D" w:rsidP="41917361">
      <w:pPr>
        <w:pStyle w:val="ListParagraph"/>
        <w:ind w:left="720"/>
      </w:pPr>
      <w:r>
        <w:t>any other circumstance set out in the NDIS rules</w:t>
      </w:r>
    </w:p>
    <w:sectPr w:rsidR="00346B76" w:rsidSect="00634D7A">
      <w:headerReference w:type="default" r:id="rId17"/>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B298" w14:textId="77777777" w:rsidR="00B51D05" w:rsidRDefault="00B51D05" w:rsidP="008F3023">
      <w:pPr>
        <w:spacing w:after="0" w:line="240" w:lineRule="auto"/>
      </w:pPr>
      <w:r>
        <w:separator/>
      </w:r>
    </w:p>
  </w:endnote>
  <w:endnote w:type="continuationSeparator" w:id="0">
    <w:p w14:paraId="30966C0F" w14:textId="77777777" w:rsidR="00B51D05" w:rsidRDefault="00B51D05" w:rsidP="008F3023">
      <w:pPr>
        <w:spacing w:after="0" w:line="240" w:lineRule="auto"/>
      </w:pPr>
      <w:r>
        <w:continuationSeparator/>
      </w:r>
    </w:p>
  </w:endnote>
  <w:endnote w:type="continuationNotice" w:id="1">
    <w:p w14:paraId="707ABF18" w14:textId="77777777" w:rsidR="00B51D05" w:rsidRDefault="00B51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D447" w14:textId="005BF749"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311B4373" wp14:editId="7DF772AF">
          <wp:simplePos x="0" y="0"/>
          <wp:positionH relativeFrom="page">
            <wp:align>right</wp:align>
          </wp:positionH>
          <wp:positionV relativeFrom="page">
            <wp:align>bottom</wp:align>
          </wp:positionV>
          <wp:extent cx="1522800" cy="1094400"/>
          <wp:effectExtent l="0" t="0" r="1270" b="0"/>
          <wp:wrapNone/>
          <wp:docPr id="1583385278"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 </w:t>
    </w:r>
    <w:sdt>
      <w:sdtPr>
        <w:alias w:val="Title"/>
        <w:tag w:val=""/>
        <w:id w:val="-557715608"/>
        <w:placeholder>
          <w:docPart w:val="32E5CC70603045CF9069457B9E02CA79"/>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2B1727">
          <w:t>Section 33 – plain English summary</w:t>
        </w:r>
      </w:sdtContent>
    </w:sdt>
    <w:r w:rsidR="00E2068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6D34" w14:textId="38E2C324" w:rsidR="00F85669" w:rsidRDefault="00657D3C" w:rsidP="007D36CD">
    <w:pPr>
      <w:pStyle w:val="Footer"/>
    </w:pPr>
    <w:r>
      <w:rPr>
        <w:noProof/>
      </w:rPr>
      <w:drawing>
        <wp:anchor distT="0" distB="0" distL="114300" distR="114300" simplePos="0" relativeHeight="251658241" behindDoc="0" locked="1" layoutInCell="1" allowOverlap="1" wp14:anchorId="18F79099" wp14:editId="6C72FC25">
          <wp:simplePos x="0" y="0"/>
          <wp:positionH relativeFrom="page">
            <wp:align>left</wp:align>
          </wp:positionH>
          <wp:positionV relativeFrom="page">
            <wp:align>top</wp:align>
          </wp:positionV>
          <wp:extent cx="7560000" cy="10692000"/>
          <wp:effectExtent l="0" t="0" r="3175" b="0"/>
          <wp:wrapNone/>
          <wp:docPr id="1614615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32E5CC70603045CF9069457B9E02CA79"/>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2B1727">
          <w:t>Section 33 – plain English summary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1DCA" w14:textId="77777777" w:rsidR="00B51D05" w:rsidRDefault="00B51D05" w:rsidP="008F3023">
      <w:pPr>
        <w:spacing w:after="0" w:line="240" w:lineRule="auto"/>
      </w:pPr>
      <w:r>
        <w:separator/>
      </w:r>
    </w:p>
  </w:footnote>
  <w:footnote w:type="continuationSeparator" w:id="0">
    <w:p w14:paraId="588A3DDF" w14:textId="77777777" w:rsidR="00B51D05" w:rsidRDefault="00B51D05" w:rsidP="008F3023">
      <w:pPr>
        <w:spacing w:after="0" w:line="240" w:lineRule="auto"/>
      </w:pPr>
      <w:r>
        <w:continuationSeparator/>
      </w:r>
    </w:p>
  </w:footnote>
  <w:footnote w:type="continuationNotice" w:id="1">
    <w:p w14:paraId="71844065" w14:textId="77777777" w:rsidR="00B51D05" w:rsidRDefault="00B51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1EC606C3" w14:textId="77777777" w:rsidTr="3715B983">
      <w:trPr>
        <w:trHeight w:val="300"/>
      </w:trPr>
      <w:tc>
        <w:tcPr>
          <w:tcW w:w="3400" w:type="dxa"/>
        </w:tcPr>
        <w:p w14:paraId="3F511022" w14:textId="31741322" w:rsidR="3715B983" w:rsidRDefault="3715B983" w:rsidP="3715B983">
          <w:pPr>
            <w:pStyle w:val="Header"/>
            <w:ind w:left="-115"/>
          </w:pPr>
        </w:p>
      </w:tc>
      <w:tc>
        <w:tcPr>
          <w:tcW w:w="3400" w:type="dxa"/>
        </w:tcPr>
        <w:p w14:paraId="77431A76" w14:textId="62053ED1" w:rsidR="3715B983" w:rsidRDefault="3715B983" w:rsidP="3715B983">
          <w:pPr>
            <w:pStyle w:val="Header"/>
            <w:jc w:val="center"/>
          </w:pPr>
        </w:p>
      </w:tc>
      <w:tc>
        <w:tcPr>
          <w:tcW w:w="3400" w:type="dxa"/>
        </w:tcPr>
        <w:p w14:paraId="4FC88503" w14:textId="6C88DA1E" w:rsidR="3715B983" w:rsidRDefault="3715B983" w:rsidP="3715B983">
          <w:pPr>
            <w:pStyle w:val="Header"/>
            <w:ind w:right="-115"/>
            <w:jc w:val="right"/>
          </w:pPr>
        </w:p>
      </w:tc>
    </w:tr>
  </w:tbl>
  <w:p w14:paraId="5515D967" w14:textId="2ADCF0EC" w:rsidR="3715B983" w:rsidRDefault="3715B983" w:rsidP="3715B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48D318CD" w14:textId="77777777" w:rsidTr="3715B983">
      <w:trPr>
        <w:trHeight w:val="300"/>
      </w:trPr>
      <w:tc>
        <w:tcPr>
          <w:tcW w:w="3400" w:type="dxa"/>
        </w:tcPr>
        <w:p w14:paraId="43AFBB1F" w14:textId="7F51B4E8" w:rsidR="3715B983" w:rsidRDefault="3715B983" w:rsidP="3715B983">
          <w:pPr>
            <w:pStyle w:val="Header"/>
            <w:ind w:left="-115"/>
          </w:pPr>
        </w:p>
      </w:tc>
      <w:tc>
        <w:tcPr>
          <w:tcW w:w="3400" w:type="dxa"/>
        </w:tcPr>
        <w:p w14:paraId="45B4E652" w14:textId="7AB23D59" w:rsidR="3715B983" w:rsidRDefault="3715B983" w:rsidP="3715B983">
          <w:pPr>
            <w:pStyle w:val="Header"/>
            <w:jc w:val="center"/>
          </w:pPr>
        </w:p>
      </w:tc>
      <w:tc>
        <w:tcPr>
          <w:tcW w:w="3400" w:type="dxa"/>
        </w:tcPr>
        <w:p w14:paraId="3DBDA39A" w14:textId="3CC14D15" w:rsidR="3715B983" w:rsidRDefault="3715B983" w:rsidP="3715B983">
          <w:pPr>
            <w:pStyle w:val="Header"/>
            <w:ind w:right="-115"/>
            <w:jc w:val="right"/>
          </w:pPr>
        </w:p>
      </w:tc>
    </w:tr>
  </w:tbl>
  <w:p w14:paraId="2D15A811" w14:textId="0C925C70" w:rsidR="3715B983" w:rsidRDefault="3715B983" w:rsidP="3715B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23EA3FAE" w14:textId="77777777" w:rsidTr="3715B983">
      <w:trPr>
        <w:trHeight w:val="300"/>
      </w:trPr>
      <w:tc>
        <w:tcPr>
          <w:tcW w:w="3400" w:type="dxa"/>
        </w:tcPr>
        <w:p w14:paraId="39ADF8C8" w14:textId="454AB7BE" w:rsidR="3715B983" w:rsidRDefault="3715B983" w:rsidP="3715B983">
          <w:pPr>
            <w:pStyle w:val="Header"/>
            <w:ind w:left="-115"/>
          </w:pPr>
        </w:p>
      </w:tc>
      <w:tc>
        <w:tcPr>
          <w:tcW w:w="3400" w:type="dxa"/>
        </w:tcPr>
        <w:p w14:paraId="1107B77D" w14:textId="400C0A77" w:rsidR="3715B983" w:rsidRDefault="3715B983" w:rsidP="3715B983">
          <w:pPr>
            <w:pStyle w:val="Header"/>
            <w:jc w:val="center"/>
          </w:pPr>
        </w:p>
      </w:tc>
      <w:tc>
        <w:tcPr>
          <w:tcW w:w="3400" w:type="dxa"/>
        </w:tcPr>
        <w:p w14:paraId="47FD535E" w14:textId="393CC0B0" w:rsidR="3715B983" w:rsidRDefault="3715B983" w:rsidP="3715B983">
          <w:pPr>
            <w:pStyle w:val="Header"/>
            <w:ind w:right="-115"/>
            <w:jc w:val="right"/>
          </w:pPr>
        </w:p>
      </w:tc>
    </w:tr>
  </w:tbl>
  <w:p w14:paraId="32240B67" w14:textId="306D0374" w:rsidR="3715B983" w:rsidRDefault="3715B983" w:rsidP="3715B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FFFFFFFF">
      <w:start w:val="1"/>
      <w:numFmt w:val="bullet"/>
      <w:pStyle w:val="ListParagraph"/>
      <w:lvlText w:val="•"/>
      <w:lvlJc w:val="left"/>
      <w:pPr>
        <w:ind w:left="1032" w:hanging="360"/>
      </w:pPr>
      <w:rPr>
        <w:rFonts w:ascii="Tahoma" w:hAnsi="Tahoma"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308E1"/>
    <w:multiLevelType w:val="hybridMultilevel"/>
    <w:tmpl w:val="AF7CC924"/>
    <w:lvl w:ilvl="0" w:tplc="88C8059E">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E05FC"/>
    <w:multiLevelType w:val="hybridMultilevel"/>
    <w:tmpl w:val="DCBA6808"/>
    <w:lvl w:ilvl="0" w:tplc="FFFFFFFF">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6" w15:restartNumberingAfterBreak="0">
    <w:nsid w:val="213055FF"/>
    <w:multiLevelType w:val="hybridMultilevel"/>
    <w:tmpl w:val="497EF7B4"/>
    <w:lvl w:ilvl="0" w:tplc="71A8A20C">
      <w:start w:val="1"/>
      <w:numFmt w:val="bullet"/>
      <w:pStyle w:val="Bullet"/>
      <w:lvlText w:val=""/>
      <w:lvlJc w:val="left"/>
      <w:pPr>
        <w:ind w:left="-1779" w:hanging="360"/>
      </w:pPr>
      <w:rPr>
        <w:rFonts w:ascii="Symbol" w:hAnsi="Symbol" w:hint="default"/>
        <w:color w:val="auto"/>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7"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71C04"/>
    <w:multiLevelType w:val="hybridMultilevel"/>
    <w:tmpl w:val="9B6CF52E"/>
    <w:lvl w:ilvl="0" w:tplc="88C8059E">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CB426C"/>
    <w:multiLevelType w:val="hybridMultilevel"/>
    <w:tmpl w:val="F5B27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13"/>
  </w:num>
  <w:num w:numId="2" w16cid:durableId="1378166838">
    <w:abstractNumId w:val="1"/>
  </w:num>
  <w:num w:numId="3" w16cid:durableId="501120408">
    <w:abstractNumId w:val="16"/>
  </w:num>
  <w:num w:numId="4" w16cid:durableId="978261373">
    <w:abstractNumId w:val="5"/>
  </w:num>
  <w:num w:numId="5" w16cid:durableId="1235772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8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321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561096">
    <w:abstractNumId w:val="15"/>
  </w:num>
  <w:num w:numId="9" w16cid:durableId="523792583">
    <w:abstractNumId w:val="14"/>
  </w:num>
  <w:num w:numId="10" w16cid:durableId="197284368">
    <w:abstractNumId w:val="2"/>
  </w:num>
  <w:num w:numId="11" w16cid:durableId="238028533">
    <w:abstractNumId w:val="8"/>
  </w:num>
  <w:num w:numId="12" w16cid:durableId="2051952884">
    <w:abstractNumId w:val="0"/>
  </w:num>
  <w:num w:numId="13" w16cid:durableId="331682090">
    <w:abstractNumId w:val="7"/>
  </w:num>
  <w:num w:numId="14" w16cid:durableId="1223978886">
    <w:abstractNumId w:val="9"/>
  </w:num>
  <w:num w:numId="15" w16cid:durableId="1472097509">
    <w:abstractNumId w:val="12"/>
  </w:num>
  <w:num w:numId="16" w16cid:durableId="995837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949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62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715873">
    <w:abstractNumId w:val="11"/>
  </w:num>
  <w:num w:numId="20" w16cid:durableId="895556417">
    <w:abstractNumId w:val="4"/>
  </w:num>
  <w:num w:numId="21" w16cid:durableId="1361661553">
    <w:abstractNumId w:val="3"/>
  </w:num>
  <w:num w:numId="22" w16cid:durableId="224492734">
    <w:abstractNumId w:val="10"/>
  </w:num>
  <w:num w:numId="23" w16cid:durableId="1991639433">
    <w:abstractNumId w:val="6"/>
  </w:num>
  <w:num w:numId="24" w16cid:durableId="142993018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F"/>
    <w:rsid w:val="000029DA"/>
    <w:rsid w:val="000140B8"/>
    <w:rsid w:val="000317E3"/>
    <w:rsid w:val="00044684"/>
    <w:rsid w:val="00044CA5"/>
    <w:rsid w:val="000553C6"/>
    <w:rsid w:val="000567B7"/>
    <w:rsid w:val="00062B78"/>
    <w:rsid w:val="00064140"/>
    <w:rsid w:val="000651FF"/>
    <w:rsid w:val="000659A2"/>
    <w:rsid w:val="000750D2"/>
    <w:rsid w:val="00075327"/>
    <w:rsid w:val="00077308"/>
    <w:rsid w:val="00081610"/>
    <w:rsid w:val="00083598"/>
    <w:rsid w:val="00084E20"/>
    <w:rsid w:val="00091ABE"/>
    <w:rsid w:val="00093397"/>
    <w:rsid w:val="000A3E2D"/>
    <w:rsid w:val="000A5B07"/>
    <w:rsid w:val="000A6AE5"/>
    <w:rsid w:val="000C4A0F"/>
    <w:rsid w:val="000D5965"/>
    <w:rsid w:val="000D68D5"/>
    <w:rsid w:val="000E177E"/>
    <w:rsid w:val="000E6227"/>
    <w:rsid w:val="000F2FB4"/>
    <w:rsid w:val="000F7266"/>
    <w:rsid w:val="000F75FC"/>
    <w:rsid w:val="0011176F"/>
    <w:rsid w:val="00112679"/>
    <w:rsid w:val="00130A69"/>
    <w:rsid w:val="0013170D"/>
    <w:rsid w:val="00144E4D"/>
    <w:rsid w:val="001510D7"/>
    <w:rsid w:val="00152E8A"/>
    <w:rsid w:val="00161696"/>
    <w:rsid w:val="0016708E"/>
    <w:rsid w:val="001965D2"/>
    <w:rsid w:val="001A0B10"/>
    <w:rsid w:val="001A671D"/>
    <w:rsid w:val="001A7461"/>
    <w:rsid w:val="001C0F5D"/>
    <w:rsid w:val="001C34C2"/>
    <w:rsid w:val="001C5262"/>
    <w:rsid w:val="001C71FF"/>
    <w:rsid w:val="001D0F6D"/>
    <w:rsid w:val="001D6FAF"/>
    <w:rsid w:val="001E630D"/>
    <w:rsid w:val="001F6546"/>
    <w:rsid w:val="00220BA4"/>
    <w:rsid w:val="002346B5"/>
    <w:rsid w:val="00240A6E"/>
    <w:rsid w:val="00261F5D"/>
    <w:rsid w:val="00262CDD"/>
    <w:rsid w:val="00265C61"/>
    <w:rsid w:val="00275EA9"/>
    <w:rsid w:val="00281DFB"/>
    <w:rsid w:val="00282835"/>
    <w:rsid w:val="002942CB"/>
    <w:rsid w:val="00295934"/>
    <w:rsid w:val="002B1727"/>
    <w:rsid w:val="002B3CC6"/>
    <w:rsid w:val="002B4814"/>
    <w:rsid w:val="002B7002"/>
    <w:rsid w:val="002C2C58"/>
    <w:rsid w:val="003014C5"/>
    <w:rsid w:val="00311FC7"/>
    <w:rsid w:val="0032195D"/>
    <w:rsid w:val="00335A14"/>
    <w:rsid w:val="00337926"/>
    <w:rsid w:val="00344378"/>
    <w:rsid w:val="00346B76"/>
    <w:rsid w:val="00347FE0"/>
    <w:rsid w:val="00371BCD"/>
    <w:rsid w:val="0038044C"/>
    <w:rsid w:val="003924BC"/>
    <w:rsid w:val="003A6D7F"/>
    <w:rsid w:val="003A70C3"/>
    <w:rsid w:val="003B0D19"/>
    <w:rsid w:val="003B2BB8"/>
    <w:rsid w:val="003B7424"/>
    <w:rsid w:val="003C62FE"/>
    <w:rsid w:val="003D34FF"/>
    <w:rsid w:val="003D6B68"/>
    <w:rsid w:val="003E0A57"/>
    <w:rsid w:val="003E10A6"/>
    <w:rsid w:val="003E2B62"/>
    <w:rsid w:val="00403055"/>
    <w:rsid w:val="00413A2D"/>
    <w:rsid w:val="00415B6C"/>
    <w:rsid w:val="00416595"/>
    <w:rsid w:val="004243F2"/>
    <w:rsid w:val="004329F6"/>
    <w:rsid w:val="00434164"/>
    <w:rsid w:val="004354E6"/>
    <w:rsid w:val="00440CB8"/>
    <w:rsid w:val="00441FD7"/>
    <w:rsid w:val="00444372"/>
    <w:rsid w:val="00450C93"/>
    <w:rsid w:val="00451287"/>
    <w:rsid w:val="0045365D"/>
    <w:rsid w:val="00471456"/>
    <w:rsid w:val="0047261D"/>
    <w:rsid w:val="00474621"/>
    <w:rsid w:val="004837A4"/>
    <w:rsid w:val="00490F3B"/>
    <w:rsid w:val="004A2151"/>
    <w:rsid w:val="004B54CA"/>
    <w:rsid w:val="004B653B"/>
    <w:rsid w:val="004C198A"/>
    <w:rsid w:val="004E011E"/>
    <w:rsid w:val="004E5CBF"/>
    <w:rsid w:val="004F11A7"/>
    <w:rsid w:val="004F2D39"/>
    <w:rsid w:val="004F7681"/>
    <w:rsid w:val="004F77F4"/>
    <w:rsid w:val="005072B0"/>
    <w:rsid w:val="00515ED5"/>
    <w:rsid w:val="00517AE4"/>
    <w:rsid w:val="00520543"/>
    <w:rsid w:val="00521498"/>
    <w:rsid w:val="00522E21"/>
    <w:rsid w:val="00525989"/>
    <w:rsid w:val="00527EAE"/>
    <w:rsid w:val="005312DA"/>
    <w:rsid w:val="00540775"/>
    <w:rsid w:val="00543F2B"/>
    <w:rsid w:val="0054713E"/>
    <w:rsid w:val="00553B66"/>
    <w:rsid w:val="005543A8"/>
    <w:rsid w:val="00566982"/>
    <w:rsid w:val="00567053"/>
    <w:rsid w:val="005728DA"/>
    <w:rsid w:val="005754ED"/>
    <w:rsid w:val="00584FC1"/>
    <w:rsid w:val="00586246"/>
    <w:rsid w:val="005877DC"/>
    <w:rsid w:val="0059023E"/>
    <w:rsid w:val="0059384D"/>
    <w:rsid w:val="00593AB9"/>
    <w:rsid w:val="00597852"/>
    <w:rsid w:val="005B06DE"/>
    <w:rsid w:val="005B1265"/>
    <w:rsid w:val="005B66DF"/>
    <w:rsid w:val="005C3AA9"/>
    <w:rsid w:val="005C4252"/>
    <w:rsid w:val="005D2C33"/>
    <w:rsid w:val="005D5FA3"/>
    <w:rsid w:val="005D6069"/>
    <w:rsid w:val="005E0D2D"/>
    <w:rsid w:val="005F2041"/>
    <w:rsid w:val="005F3AE3"/>
    <w:rsid w:val="005F5EEF"/>
    <w:rsid w:val="0061127A"/>
    <w:rsid w:val="00612356"/>
    <w:rsid w:val="00612C4B"/>
    <w:rsid w:val="00613437"/>
    <w:rsid w:val="0062415E"/>
    <w:rsid w:val="00626821"/>
    <w:rsid w:val="00630630"/>
    <w:rsid w:val="00631A2C"/>
    <w:rsid w:val="00634D7A"/>
    <w:rsid w:val="00636965"/>
    <w:rsid w:val="006467DB"/>
    <w:rsid w:val="00657D3C"/>
    <w:rsid w:val="00680045"/>
    <w:rsid w:val="00686716"/>
    <w:rsid w:val="006A4CE7"/>
    <w:rsid w:val="006A4D25"/>
    <w:rsid w:val="006A57A7"/>
    <w:rsid w:val="006A726D"/>
    <w:rsid w:val="006A7DD3"/>
    <w:rsid w:val="006B2D84"/>
    <w:rsid w:val="006B4F4F"/>
    <w:rsid w:val="006B6A18"/>
    <w:rsid w:val="006C019B"/>
    <w:rsid w:val="006C1E82"/>
    <w:rsid w:val="006D2DA3"/>
    <w:rsid w:val="006D622A"/>
    <w:rsid w:val="006E0119"/>
    <w:rsid w:val="006F0416"/>
    <w:rsid w:val="006F3D9C"/>
    <w:rsid w:val="006F4331"/>
    <w:rsid w:val="006F6231"/>
    <w:rsid w:val="00700485"/>
    <w:rsid w:val="007010EE"/>
    <w:rsid w:val="007065F3"/>
    <w:rsid w:val="00712957"/>
    <w:rsid w:val="0073320E"/>
    <w:rsid w:val="007339FE"/>
    <w:rsid w:val="00765A7C"/>
    <w:rsid w:val="00771A80"/>
    <w:rsid w:val="007749A1"/>
    <w:rsid w:val="00785261"/>
    <w:rsid w:val="00795CEA"/>
    <w:rsid w:val="007B0256"/>
    <w:rsid w:val="007D1C2F"/>
    <w:rsid w:val="007D30A2"/>
    <w:rsid w:val="007D36CD"/>
    <w:rsid w:val="007E007C"/>
    <w:rsid w:val="007E3959"/>
    <w:rsid w:val="007E3B8B"/>
    <w:rsid w:val="007E6A02"/>
    <w:rsid w:val="0080363D"/>
    <w:rsid w:val="00815A31"/>
    <w:rsid w:val="00837F4E"/>
    <w:rsid w:val="00841AA3"/>
    <w:rsid w:val="0084227C"/>
    <w:rsid w:val="008547DE"/>
    <w:rsid w:val="008565DF"/>
    <w:rsid w:val="0085710F"/>
    <w:rsid w:val="00864131"/>
    <w:rsid w:val="0086552B"/>
    <w:rsid w:val="00867190"/>
    <w:rsid w:val="00874643"/>
    <w:rsid w:val="00876CA6"/>
    <w:rsid w:val="00877018"/>
    <w:rsid w:val="008833BA"/>
    <w:rsid w:val="008916D6"/>
    <w:rsid w:val="0089267F"/>
    <w:rsid w:val="008C0148"/>
    <w:rsid w:val="008C0276"/>
    <w:rsid w:val="008C3726"/>
    <w:rsid w:val="008D1C86"/>
    <w:rsid w:val="008D5AB0"/>
    <w:rsid w:val="008E0C72"/>
    <w:rsid w:val="008F3023"/>
    <w:rsid w:val="00905D5E"/>
    <w:rsid w:val="009225F0"/>
    <w:rsid w:val="00927663"/>
    <w:rsid w:val="009300DF"/>
    <w:rsid w:val="00930C61"/>
    <w:rsid w:val="00932E7B"/>
    <w:rsid w:val="00940B9B"/>
    <w:rsid w:val="00942D14"/>
    <w:rsid w:val="0094563F"/>
    <w:rsid w:val="0095467F"/>
    <w:rsid w:val="00987714"/>
    <w:rsid w:val="009A09C7"/>
    <w:rsid w:val="009B14BE"/>
    <w:rsid w:val="009B5AB3"/>
    <w:rsid w:val="009D2813"/>
    <w:rsid w:val="009D2DF8"/>
    <w:rsid w:val="009D3CCB"/>
    <w:rsid w:val="009E6CFD"/>
    <w:rsid w:val="009F2AF7"/>
    <w:rsid w:val="009F6E80"/>
    <w:rsid w:val="00A01FD0"/>
    <w:rsid w:val="00A03B42"/>
    <w:rsid w:val="00A13549"/>
    <w:rsid w:val="00A20A11"/>
    <w:rsid w:val="00A43E66"/>
    <w:rsid w:val="00A4462B"/>
    <w:rsid w:val="00A5147A"/>
    <w:rsid w:val="00A57CC0"/>
    <w:rsid w:val="00A6317F"/>
    <w:rsid w:val="00A6706B"/>
    <w:rsid w:val="00A74769"/>
    <w:rsid w:val="00A80DE0"/>
    <w:rsid w:val="00A81138"/>
    <w:rsid w:val="00A85365"/>
    <w:rsid w:val="00A92F9A"/>
    <w:rsid w:val="00AA189F"/>
    <w:rsid w:val="00AA5D6F"/>
    <w:rsid w:val="00AA7226"/>
    <w:rsid w:val="00AA755E"/>
    <w:rsid w:val="00AB1B09"/>
    <w:rsid w:val="00AC5ABD"/>
    <w:rsid w:val="00AD627F"/>
    <w:rsid w:val="00AD638C"/>
    <w:rsid w:val="00AD78E3"/>
    <w:rsid w:val="00AE5EC3"/>
    <w:rsid w:val="00AF0CA7"/>
    <w:rsid w:val="00AF6DAF"/>
    <w:rsid w:val="00AF77F3"/>
    <w:rsid w:val="00B0363F"/>
    <w:rsid w:val="00B10EA9"/>
    <w:rsid w:val="00B10EB1"/>
    <w:rsid w:val="00B209E5"/>
    <w:rsid w:val="00B246E8"/>
    <w:rsid w:val="00B25125"/>
    <w:rsid w:val="00B260F1"/>
    <w:rsid w:val="00B31D33"/>
    <w:rsid w:val="00B36B86"/>
    <w:rsid w:val="00B371CA"/>
    <w:rsid w:val="00B37603"/>
    <w:rsid w:val="00B37640"/>
    <w:rsid w:val="00B413E1"/>
    <w:rsid w:val="00B44F9B"/>
    <w:rsid w:val="00B51D05"/>
    <w:rsid w:val="00B62CB7"/>
    <w:rsid w:val="00B65A9F"/>
    <w:rsid w:val="00B65AF9"/>
    <w:rsid w:val="00B67907"/>
    <w:rsid w:val="00B71EDF"/>
    <w:rsid w:val="00B73F0C"/>
    <w:rsid w:val="00B772ED"/>
    <w:rsid w:val="00B820CD"/>
    <w:rsid w:val="00B85379"/>
    <w:rsid w:val="00B966C3"/>
    <w:rsid w:val="00BA2DB9"/>
    <w:rsid w:val="00BA5842"/>
    <w:rsid w:val="00BA6A09"/>
    <w:rsid w:val="00BB03A8"/>
    <w:rsid w:val="00BB52B6"/>
    <w:rsid w:val="00BC04D2"/>
    <w:rsid w:val="00BC0A30"/>
    <w:rsid w:val="00BC79CD"/>
    <w:rsid w:val="00BD74B1"/>
    <w:rsid w:val="00BE035D"/>
    <w:rsid w:val="00BE3216"/>
    <w:rsid w:val="00BE6978"/>
    <w:rsid w:val="00BE7148"/>
    <w:rsid w:val="00BF0BAF"/>
    <w:rsid w:val="00C00C60"/>
    <w:rsid w:val="00C027B8"/>
    <w:rsid w:val="00C03154"/>
    <w:rsid w:val="00C175D2"/>
    <w:rsid w:val="00C246D8"/>
    <w:rsid w:val="00C331E3"/>
    <w:rsid w:val="00C36523"/>
    <w:rsid w:val="00C37FD6"/>
    <w:rsid w:val="00C4058D"/>
    <w:rsid w:val="00C438A6"/>
    <w:rsid w:val="00C55DE7"/>
    <w:rsid w:val="00C57001"/>
    <w:rsid w:val="00C63277"/>
    <w:rsid w:val="00C76B3D"/>
    <w:rsid w:val="00C90188"/>
    <w:rsid w:val="00C92C29"/>
    <w:rsid w:val="00C9385D"/>
    <w:rsid w:val="00CA5D88"/>
    <w:rsid w:val="00CB718C"/>
    <w:rsid w:val="00CB74B3"/>
    <w:rsid w:val="00CE1CB4"/>
    <w:rsid w:val="00CE362E"/>
    <w:rsid w:val="00D22A8A"/>
    <w:rsid w:val="00D23FD8"/>
    <w:rsid w:val="00D40593"/>
    <w:rsid w:val="00D52386"/>
    <w:rsid w:val="00D71C54"/>
    <w:rsid w:val="00D83A7C"/>
    <w:rsid w:val="00D86E50"/>
    <w:rsid w:val="00D90D3C"/>
    <w:rsid w:val="00DA33DB"/>
    <w:rsid w:val="00DA66C1"/>
    <w:rsid w:val="00DA7B4A"/>
    <w:rsid w:val="00DB012A"/>
    <w:rsid w:val="00DB145C"/>
    <w:rsid w:val="00DB33E4"/>
    <w:rsid w:val="00DB5BD5"/>
    <w:rsid w:val="00DC61A0"/>
    <w:rsid w:val="00DF03EE"/>
    <w:rsid w:val="00DF5B09"/>
    <w:rsid w:val="00DF6440"/>
    <w:rsid w:val="00E07AFE"/>
    <w:rsid w:val="00E131AB"/>
    <w:rsid w:val="00E20687"/>
    <w:rsid w:val="00E22210"/>
    <w:rsid w:val="00E26398"/>
    <w:rsid w:val="00E30C3C"/>
    <w:rsid w:val="00E3207F"/>
    <w:rsid w:val="00E3469A"/>
    <w:rsid w:val="00E37EEF"/>
    <w:rsid w:val="00E4140B"/>
    <w:rsid w:val="00E51844"/>
    <w:rsid w:val="00E51EF1"/>
    <w:rsid w:val="00E643E0"/>
    <w:rsid w:val="00E65C4E"/>
    <w:rsid w:val="00E708BB"/>
    <w:rsid w:val="00E70DC5"/>
    <w:rsid w:val="00E738AE"/>
    <w:rsid w:val="00E761A2"/>
    <w:rsid w:val="00E82B90"/>
    <w:rsid w:val="00E82F75"/>
    <w:rsid w:val="00E858A7"/>
    <w:rsid w:val="00E90461"/>
    <w:rsid w:val="00E9249F"/>
    <w:rsid w:val="00E9285A"/>
    <w:rsid w:val="00E956B6"/>
    <w:rsid w:val="00EA1F9D"/>
    <w:rsid w:val="00EA4C23"/>
    <w:rsid w:val="00EA550A"/>
    <w:rsid w:val="00EA580C"/>
    <w:rsid w:val="00EA66F0"/>
    <w:rsid w:val="00EC3F37"/>
    <w:rsid w:val="00ED5605"/>
    <w:rsid w:val="00EE3834"/>
    <w:rsid w:val="00EE5D6C"/>
    <w:rsid w:val="00EE67D9"/>
    <w:rsid w:val="00EF322A"/>
    <w:rsid w:val="00EF3823"/>
    <w:rsid w:val="00F057C0"/>
    <w:rsid w:val="00F06175"/>
    <w:rsid w:val="00F07D2D"/>
    <w:rsid w:val="00F148C2"/>
    <w:rsid w:val="00F14D1D"/>
    <w:rsid w:val="00F201FD"/>
    <w:rsid w:val="00F212CF"/>
    <w:rsid w:val="00F26D47"/>
    <w:rsid w:val="00F30908"/>
    <w:rsid w:val="00F35FC5"/>
    <w:rsid w:val="00F36F13"/>
    <w:rsid w:val="00F471F2"/>
    <w:rsid w:val="00F509B6"/>
    <w:rsid w:val="00F56732"/>
    <w:rsid w:val="00F74C43"/>
    <w:rsid w:val="00F85669"/>
    <w:rsid w:val="00FA1012"/>
    <w:rsid w:val="00FA2A06"/>
    <w:rsid w:val="00FA60D0"/>
    <w:rsid w:val="00FB119D"/>
    <w:rsid w:val="00FB2221"/>
    <w:rsid w:val="00FB266F"/>
    <w:rsid w:val="00FB7005"/>
    <w:rsid w:val="00FC00BC"/>
    <w:rsid w:val="00FC143A"/>
    <w:rsid w:val="00FC4152"/>
    <w:rsid w:val="00FD5DEB"/>
    <w:rsid w:val="00FE1D08"/>
    <w:rsid w:val="0529144C"/>
    <w:rsid w:val="065810BC"/>
    <w:rsid w:val="06BEC5CD"/>
    <w:rsid w:val="06DF53E4"/>
    <w:rsid w:val="06E24599"/>
    <w:rsid w:val="07D17497"/>
    <w:rsid w:val="083930F6"/>
    <w:rsid w:val="08F674FA"/>
    <w:rsid w:val="0AE9E5D8"/>
    <w:rsid w:val="0BEA8605"/>
    <w:rsid w:val="0C559BE4"/>
    <w:rsid w:val="0DAC35D6"/>
    <w:rsid w:val="0F735C06"/>
    <w:rsid w:val="0FBF56D4"/>
    <w:rsid w:val="11F5A4A1"/>
    <w:rsid w:val="12E10E6C"/>
    <w:rsid w:val="132C8DAB"/>
    <w:rsid w:val="15A63803"/>
    <w:rsid w:val="1A100302"/>
    <w:rsid w:val="1B5D32CC"/>
    <w:rsid w:val="1BC5E6C0"/>
    <w:rsid w:val="1DA9F117"/>
    <w:rsid w:val="1EB45835"/>
    <w:rsid w:val="1EFA1818"/>
    <w:rsid w:val="1F0DC10C"/>
    <w:rsid w:val="1F21D8C5"/>
    <w:rsid w:val="1FCB971C"/>
    <w:rsid w:val="2053CA9E"/>
    <w:rsid w:val="20F937BB"/>
    <w:rsid w:val="218D43E0"/>
    <w:rsid w:val="230063C9"/>
    <w:rsid w:val="24FA6C5C"/>
    <w:rsid w:val="25685DD0"/>
    <w:rsid w:val="257CA3F5"/>
    <w:rsid w:val="25DEF3C9"/>
    <w:rsid w:val="261FBE69"/>
    <w:rsid w:val="266E3899"/>
    <w:rsid w:val="266F5EE5"/>
    <w:rsid w:val="2B23BABB"/>
    <w:rsid w:val="2C8E01DE"/>
    <w:rsid w:val="2CDD4AFF"/>
    <w:rsid w:val="2D3417F8"/>
    <w:rsid w:val="2D7F252E"/>
    <w:rsid w:val="2DC0086D"/>
    <w:rsid w:val="2E102B78"/>
    <w:rsid w:val="2F2387EE"/>
    <w:rsid w:val="3035CB51"/>
    <w:rsid w:val="304599B2"/>
    <w:rsid w:val="307F563D"/>
    <w:rsid w:val="310ED0EE"/>
    <w:rsid w:val="32464855"/>
    <w:rsid w:val="32FEFB2A"/>
    <w:rsid w:val="33C602B5"/>
    <w:rsid w:val="3411B96B"/>
    <w:rsid w:val="3715B983"/>
    <w:rsid w:val="39E3794C"/>
    <w:rsid w:val="3D3FEBDE"/>
    <w:rsid w:val="3ECE080C"/>
    <w:rsid w:val="3EDA6CD8"/>
    <w:rsid w:val="40D5B0FC"/>
    <w:rsid w:val="41917361"/>
    <w:rsid w:val="4229AAF1"/>
    <w:rsid w:val="43EB5B01"/>
    <w:rsid w:val="44A03DA6"/>
    <w:rsid w:val="471A34F9"/>
    <w:rsid w:val="47FF00C5"/>
    <w:rsid w:val="4871DBC2"/>
    <w:rsid w:val="48803B2B"/>
    <w:rsid w:val="48B901C1"/>
    <w:rsid w:val="49CA5DD5"/>
    <w:rsid w:val="4AE52873"/>
    <w:rsid w:val="4AFF1F7B"/>
    <w:rsid w:val="4BFDF950"/>
    <w:rsid w:val="4D2F0807"/>
    <w:rsid w:val="4D93DC7C"/>
    <w:rsid w:val="5082F439"/>
    <w:rsid w:val="50AF2536"/>
    <w:rsid w:val="511390F3"/>
    <w:rsid w:val="51439B6D"/>
    <w:rsid w:val="52EE368B"/>
    <w:rsid w:val="53EBC51C"/>
    <w:rsid w:val="543536CA"/>
    <w:rsid w:val="547E95D9"/>
    <w:rsid w:val="5617B16E"/>
    <w:rsid w:val="563B04A2"/>
    <w:rsid w:val="56D03A94"/>
    <w:rsid w:val="58F4BBF8"/>
    <w:rsid w:val="5AF4CE61"/>
    <w:rsid w:val="5B1F3542"/>
    <w:rsid w:val="5BB037B7"/>
    <w:rsid w:val="5E236204"/>
    <w:rsid w:val="5E3B86DC"/>
    <w:rsid w:val="5E709B64"/>
    <w:rsid w:val="5E89ADC0"/>
    <w:rsid w:val="5EE71435"/>
    <w:rsid w:val="6120D594"/>
    <w:rsid w:val="61B086BE"/>
    <w:rsid w:val="61F09F6F"/>
    <w:rsid w:val="625F70DE"/>
    <w:rsid w:val="63F8034D"/>
    <w:rsid w:val="64DD7D2D"/>
    <w:rsid w:val="66116179"/>
    <w:rsid w:val="66EF3C15"/>
    <w:rsid w:val="67E1567E"/>
    <w:rsid w:val="680B4EDB"/>
    <w:rsid w:val="69AB8C81"/>
    <w:rsid w:val="6B463DF4"/>
    <w:rsid w:val="6B73AD01"/>
    <w:rsid w:val="6C9069A8"/>
    <w:rsid w:val="6CBF7CC9"/>
    <w:rsid w:val="6F76A92F"/>
    <w:rsid w:val="6FE30BDC"/>
    <w:rsid w:val="7104351D"/>
    <w:rsid w:val="737CA189"/>
    <w:rsid w:val="74E8B654"/>
    <w:rsid w:val="75C339DC"/>
    <w:rsid w:val="7745180F"/>
    <w:rsid w:val="78054FF7"/>
    <w:rsid w:val="7811A356"/>
    <w:rsid w:val="782601D3"/>
    <w:rsid w:val="7A67520B"/>
    <w:rsid w:val="7AD9897B"/>
    <w:rsid w:val="7B080B8A"/>
    <w:rsid w:val="7B735FA3"/>
    <w:rsid w:val="7BBA72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0C6A6"/>
  <w15:docId w15:val="{00E7B0E1-CAAB-4D16-A8B1-F072B15E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semiHidden/>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Revision">
    <w:name w:val="Revision"/>
    <w:hidden/>
    <w:uiPriority w:val="99"/>
    <w:semiHidden/>
    <w:rsid w:val="008547DE"/>
    <w:pPr>
      <w:spacing w:after="0" w:line="240" w:lineRule="auto"/>
    </w:pPr>
    <w:rPr>
      <w:spacing w:val="3"/>
      <w:sz w:val="22"/>
    </w:rPr>
  </w:style>
  <w:style w:type="paragraph" w:customStyle="1" w:styleId="Bullet">
    <w:name w:val="Bullet"/>
    <w:basedOn w:val="ListParagraph"/>
    <w:link w:val="BulletChar"/>
    <w:qFormat/>
    <w:rsid w:val="006A4D25"/>
    <w:pPr>
      <w:numPr>
        <w:numId w:val="23"/>
      </w:numPr>
      <w:spacing w:line="288" w:lineRule="auto"/>
      <w:ind w:left="714" w:hanging="357"/>
    </w:pPr>
    <w:rPr>
      <w:rFonts w:ascii="Arial" w:eastAsia="Times New Roman" w:hAnsi="Arial" w:cs="Times New Roman"/>
      <w:spacing w:val="0"/>
      <w:sz w:val="24"/>
      <w:lang w:val="en-US" w:eastAsia="ja-JP"/>
    </w:rPr>
  </w:style>
  <w:style w:type="character" w:customStyle="1" w:styleId="BulletChar">
    <w:name w:val="Bullet Char"/>
    <w:basedOn w:val="DefaultParagraphFont"/>
    <w:link w:val="Bullet"/>
    <w:locked/>
    <w:rsid w:val="006A4D25"/>
    <w:rPr>
      <w:rFonts w:ascii="Arial" w:eastAsia="Times New Roman" w:hAnsi="Arial" w:cs="Times New Roman"/>
      <w:lang w:val="en-US" w:eastAsia="ja-JP"/>
    </w:rPr>
  </w:style>
  <w:style w:type="character" w:styleId="CommentReference">
    <w:name w:val="annotation reference"/>
    <w:basedOn w:val="DefaultParagraphFont"/>
    <w:uiPriority w:val="99"/>
    <w:semiHidden/>
    <w:unhideWhenUsed/>
    <w:rsid w:val="00A6706B"/>
    <w:rPr>
      <w:sz w:val="16"/>
      <w:szCs w:val="16"/>
    </w:rPr>
  </w:style>
  <w:style w:type="paragraph" w:styleId="CommentText">
    <w:name w:val="annotation text"/>
    <w:basedOn w:val="Normal"/>
    <w:link w:val="CommentTextChar"/>
    <w:uiPriority w:val="99"/>
    <w:unhideWhenUsed/>
    <w:rsid w:val="00A6706B"/>
    <w:pPr>
      <w:spacing w:line="240" w:lineRule="auto"/>
    </w:pPr>
    <w:rPr>
      <w:sz w:val="20"/>
      <w:szCs w:val="20"/>
    </w:rPr>
  </w:style>
  <w:style w:type="character" w:customStyle="1" w:styleId="CommentTextChar">
    <w:name w:val="Comment Text Char"/>
    <w:basedOn w:val="DefaultParagraphFont"/>
    <w:link w:val="CommentText"/>
    <w:uiPriority w:val="99"/>
    <w:rsid w:val="00A6706B"/>
    <w:rPr>
      <w:spacing w:val="3"/>
      <w:sz w:val="20"/>
      <w:szCs w:val="20"/>
    </w:rPr>
  </w:style>
  <w:style w:type="paragraph" w:styleId="CommentSubject">
    <w:name w:val="annotation subject"/>
    <w:basedOn w:val="CommentText"/>
    <w:next w:val="CommentText"/>
    <w:link w:val="CommentSubjectChar"/>
    <w:uiPriority w:val="99"/>
    <w:semiHidden/>
    <w:unhideWhenUsed/>
    <w:rsid w:val="00A6706B"/>
    <w:rPr>
      <w:b/>
      <w:bCs/>
    </w:rPr>
  </w:style>
  <w:style w:type="character" w:customStyle="1" w:styleId="CommentSubjectChar">
    <w:name w:val="Comment Subject Char"/>
    <w:basedOn w:val="CommentTextChar"/>
    <w:link w:val="CommentSubject"/>
    <w:uiPriority w:val="99"/>
    <w:semiHidden/>
    <w:rsid w:val="00A6706B"/>
    <w:rPr>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7951">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20021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dis.gov.au/news/10372-message-ceo-about-changes-ndis-legisl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documenttasks/documenttasks1.xml><?xml version="1.0" encoding="utf-8"?>
<t:Tasks xmlns:t="http://schemas.microsoft.com/office/tasks/2019/documenttasks" xmlns:oel="http://schemas.microsoft.com/office/2019/extlst">
  <t:Task id="{AA706F59-F5D0-4BDD-9E68-7434A0A9024D}">
    <t:Anchor>
      <t:Comment id="701002628"/>
    </t:Anchor>
    <t:History>
      <t:Event id="{1DFB6F5D-57AA-4B48-878C-9CB2DDF3C132}" time="2024-10-02T03:55:06.463Z">
        <t:Attribution userId="S::rachel.godde@dss.gov.au::134dce7c-3080-4ddd-ae45-f89f71618bef" userProvider="AD" userName="GODDE, Rachel"/>
        <t:Anchor>
          <t:Comment id="701002628"/>
        </t:Anchor>
        <t:Create/>
      </t:Event>
      <t:Event id="{EFE6080A-4242-4069-8D3F-028284CEDFC9}" time="2024-10-02T03:55:06.463Z">
        <t:Attribution userId="S::rachel.godde@dss.gov.au::134dce7c-3080-4ddd-ae45-f89f71618bef" userProvider="AD" userName="GODDE, Rachel"/>
        <t:Anchor>
          <t:Comment id="701002628"/>
        </t:Anchor>
        <t:Assign userId="S::Skye.WILLIAMS@dss.gov.au::b2e1c228-4f1f-49fb-b20e-8584e153bc68" userProvider="AD" userName="WILLIAMS, Skye"/>
      </t:Event>
      <t:Event id="{365EB68E-FFCD-47CA-BFD8-CF5FFA39662E}" time="2024-10-02T03:55:06.463Z">
        <t:Attribution userId="S::rachel.godde@dss.gov.au::134dce7c-3080-4ddd-ae45-f89f71618bef" userProvider="AD" userName="GODDE, Rachel"/>
        <t:Anchor>
          <t:Comment id="701002628"/>
        </t:Anchor>
        <t:SetTitle title="@WILLIAMS, Skye can we change this to something more vague like below because total plan funding is just one part of the s33 instrument and there's nothing really you can get wrong about it because it's just how much your plan adds up to. &quot;....to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E5CC70603045CF9069457B9E02CA79"/>
        <w:category>
          <w:name w:val="General"/>
          <w:gallery w:val="placeholder"/>
        </w:category>
        <w:types>
          <w:type w:val="bbPlcHdr"/>
        </w:types>
        <w:behaviors>
          <w:behavior w:val="content"/>
        </w:behaviors>
        <w:guid w:val="{29B59C8A-D49B-49F8-B9F5-B6196D1287A8}"/>
      </w:docPartPr>
      <w:docPartBody>
        <w:p w:rsidR="009D6560" w:rsidRDefault="00F17924">
          <w:pPr>
            <w:pStyle w:val="32E5CC70603045CF9069457B9E02CA79"/>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0F"/>
    <w:rsid w:val="000659A2"/>
    <w:rsid w:val="00102B8C"/>
    <w:rsid w:val="0013170D"/>
    <w:rsid w:val="003C62FE"/>
    <w:rsid w:val="00680FE2"/>
    <w:rsid w:val="006E0119"/>
    <w:rsid w:val="0084126D"/>
    <w:rsid w:val="008932C7"/>
    <w:rsid w:val="009D6560"/>
    <w:rsid w:val="009D7D47"/>
    <w:rsid w:val="00A01FD0"/>
    <w:rsid w:val="00B0363F"/>
    <w:rsid w:val="00BD74B1"/>
    <w:rsid w:val="00C50DEB"/>
    <w:rsid w:val="00C66A1B"/>
    <w:rsid w:val="00D23FD8"/>
    <w:rsid w:val="00DB3576"/>
    <w:rsid w:val="00E56B0F"/>
    <w:rsid w:val="00E65C4E"/>
    <w:rsid w:val="00F14D1D"/>
    <w:rsid w:val="00F155BA"/>
    <w:rsid w:val="00F17924"/>
    <w:rsid w:val="00FC00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2E5CC70603045CF9069457B9E02CA79">
    <w:name w:val="32E5CC70603045CF9069457B9E02C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91281E0-7B82-446F-B2EB-AB455C05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A4 Short Report Template.dotx</Template>
  <TotalTime>0</TotalTime>
  <Pages>3</Pages>
  <Words>803</Words>
  <Characters>4119</Characters>
  <Application>Microsoft Office Word</Application>
  <DocSecurity>0</DocSecurity>
  <Lines>76</Lines>
  <Paragraphs>42</Paragraphs>
  <ScaleCrop>false</ScaleCrop>
  <Company>Department of Social Services</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 plain English summary</dc:title>
  <dc:subject/>
  <dc:creator>LAYCOCK, Linda</dc:creator>
  <cp:keywords>[SEC=OFFICIAL]</cp:keywords>
  <cp:lastModifiedBy>MILLER, Vicky</cp:lastModifiedBy>
  <cp:revision>75</cp:revision>
  <cp:lastPrinted>2014-10-25T11:51:00Z</cp:lastPrinted>
  <dcterms:created xsi:type="dcterms:W3CDTF">2024-09-26T14:24:00Z</dcterms:created>
  <dcterms:modified xsi:type="dcterms:W3CDTF">2024-10-02T06:27:00Z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2023-09-19T11:53:01Z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8399A60CF05189AF1CF0B626E5E39D28</vt:lpwstr>
  </property>
  <property fmtid="{D5CDD505-2E9C-101B-9397-08002B2CF9AE}" pid="21" name="PM_Hash_Salt">
    <vt:lpwstr>C2C9739554FBA096F31B3DE3266FB333</vt:lpwstr>
  </property>
  <property fmtid="{D5CDD505-2E9C-101B-9397-08002B2CF9AE}" pid="22" name="PM_Hash_SHA1">
    <vt:lpwstr>F58FDFD971FBCDA0B4738307E340EBBA042C0B6A</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0x01010088E7481896E9714FA5CEEC6F87965DE4</vt:lpwstr>
  </property>
  <property fmtid="{D5CDD505-2E9C-101B-9397-08002B2CF9AE}" pid="28" name="MediaServiceImageTags">
    <vt:lpwstr/>
  </property>
  <property fmtid="{D5CDD505-2E9C-101B-9397-08002B2CF9AE}" pid="29" name="PMHMAC">
    <vt:lpwstr>v=2022.1;a=SHA256;h=DA462AEF7F7C2B13CB841A090C0808BE4D68C8F45AE251D7D783F0F36323FFC5</vt:lpwstr>
  </property>
  <property fmtid="{D5CDD505-2E9C-101B-9397-08002B2CF9AE}" pid="30" name="MSIP_Label_eb34d90b-fc41-464d-af60-f74d721d0790_SetDate">
    <vt:lpwstr>2023-09-19T11:53:01Z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d8827cd9a439466b8dbd4a7b07122b12</vt:lpwstr>
  </property>
  <property fmtid="{D5CDD505-2E9C-101B-9397-08002B2CF9AE}" pid="37" name="PMUuid">
    <vt:lpwstr>v=2022.2;d=gov.au;g=46DD6D7C-8107-577B-BC6E-F348953B2E44</vt:lpwstr>
  </property>
</Properties>
</file>