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1A36" w14:textId="77777777" w:rsidR="00E56016" w:rsidRDefault="00E56016" w:rsidP="00E56016">
      <w:pPr>
        <w:spacing w:after="293" w:line="256" w:lineRule="auto"/>
        <w:ind w:left="0" w:firstLine="0"/>
      </w:pPr>
    </w:p>
    <w:p w14:paraId="7ED47C7B" w14:textId="77777777" w:rsidR="00E56016" w:rsidRDefault="00E56016" w:rsidP="00E56016">
      <w:pPr>
        <w:spacing w:before="355" w:after="0" w:line="237" w:lineRule="auto"/>
        <w:ind w:left="0" w:firstLine="0"/>
      </w:pPr>
      <w:r>
        <w:rPr>
          <w:rFonts w:ascii="Georgia" w:eastAsia="Georgia" w:hAnsi="Georgia" w:cs="Georgia"/>
          <w:color w:val="005A70"/>
          <w:sz w:val="72"/>
        </w:rPr>
        <w:t>Strengthening the social security safety net</w:t>
      </w:r>
    </w:p>
    <w:p w14:paraId="38B8660E" w14:textId="77777777" w:rsidR="00E56016" w:rsidRDefault="00E56016" w:rsidP="00E56016"/>
    <w:p w14:paraId="15300C2B" w14:textId="77777777" w:rsidR="00E56016" w:rsidRDefault="00E56016" w:rsidP="00E56016">
      <w:pPr>
        <w:rPr>
          <w:b/>
        </w:rPr>
      </w:pPr>
      <w:r>
        <w:rPr>
          <w:b/>
        </w:rPr>
        <w:t>Budget 2021-22</w:t>
      </w:r>
      <w:r>
        <w:rPr>
          <w:b/>
        </w:rPr>
        <w:br/>
      </w:r>
    </w:p>
    <w:p w14:paraId="6F4F825E" w14:textId="77777777" w:rsidR="00E56016" w:rsidRDefault="00E56016" w:rsidP="00E56016">
      <w:pPr>
        <w:spacing w:after="0"/>
        <w:ind w:left="0" w:firstLine="0"/>
        <w:rPr>
          <w:b/>
        </w:rPr>
        <w:sectPr w:rsidR="00E56016">
          <w:headerReference w:type="even" r:id="rId8"/>
          <w:headerReference w:type="default" r:id="rId9"/>
          <w:footerReference w:type="even" r:id="rId10"/>
          <w:footerReference w:type="default" r:id="rId11"/>
          <w:headerReference w:type="first" r:id="rId12"/>
          <w:footerReference w:type="first" r:id="rId13"/>
          <w:pgSz w:w="11906" w:h="16838"/>
          <w:pgMar w:top="1002" w:right="888" w:bottom="1162" w:left="852" w:header="720" w:footer="720" w:gutter="0"/>
          <w:cols w:space="720"/>
        </w:sectPr>
      </w:pPr>
    </w:p>
    <w:p w14:paraId="58494B8E" w14:textId="77777777" w:rsidR="00E56016" w:rsidRPr="00213183" w:rsidRDefault="00E56016" w:rsidP="00E56016">
      <w:pPr>
        <w:shd w:val="clear" w:color="auto" w:fill="005A70"/>
        <w:spacing w:after="600" w:line="312" w:lineRule="auto"/>
        <w:ind w:left="170" w:right="4" w:firstLine="0"/>
        <w:rPr>
          <w:i/>
          <w:color w:val="FFFFFF" w:themeColor="background1"/>
        </w:rPr>
      </w:pPr>
      <w:r w:rsidRPr="00213183">
        <w:rPr>
          <w:rFonts w:ascii="Georgia" w:eastAsia="Georgia" w:hAnsi="Georgia" w:cs="Georgia"/>
          <w:i/>
          <w:color w:val="FFFFFF" w:themeColor="background1"/>
        </w:rPr>
        <w:t xml:space="preserve">The Australian Government is investing </w:t>
      </w:r>
      <w:r w:rsidR="003D3027">
        <w:rPr>
          <w:rFonts w:ascii="Georgia" w:eastAsia="Georgia" w:hAnsi="Georgia" w:cs="Georgia"/>
          <w:i/>
          <w:color w:val="FFFFFF" w:themeColor="background1"/>
        </w:rPr>
        <w:t xml:space="preserve">more than </w:t>
      </w:r>
      <w:r w:rsidRPr="00213183">
        <w:rPr>
          <w:rFonts w:ascii="Georgia" w:eastAsia="Georgia" w:hAnsi="Georgia" w:cs="Georgia"/>
          <w:i/>
          <w:color w:val="FFFFFF" w:themeColor="background1"/>
        </w:rPr>
        <w:t>$</w:t>
      </w:r>
      <w:r w:rsidR="003D3027" w:rsidRPr="00DB5D94">
        <w:rPr>
          <w:rFonts w:ascii="Georgia" w:eastAsia="Georgia" w:hAnsi="Georgia" w:cs="Georgia"/>
          <w:i/>
          <w:color w:val="FFFFFF" w:themeColor="background1"/>
        </w:rPr>
        <w:t>9</w:t>
      </w:r>
      <w:r w:rsidR="00D9110E" w:rsidRPr="00DB5D94">
        <w:rPr>
          <w:rFonts w:ascii="Georgia" w:eastAsia="Georgia" w:hAnsi="Georgia" w:cs="Georgia"/>
          <w:i/>
          <w:color w:val="FFFFFF" w:themeColor="background1"/>
        </w:rPr>
        <w:t xml:space="preserve"> billion</w:t>
      </w:r>
      <w:r w:rsidRPr="00213183">
        <w:rPr>
          <w:rFonts w:ascii="Georgia" w:eastAsia="Georgia" w:hAnsi="Georgia" w:cs="Georgia"/>
          <w:i/>
          <w:color w:val="FFFFFF" w:themeColor="background1"/>
        </w:rPr>
        <w:t xml:space="preserve"> to strengthen the social security safety net to ensure support is there for those who need it most.</w:t>
      </w:r>
    </w:p>
    <w:p w14:paraId="0EE466B9" w14:textId="77777777" w:rsidR="00E56016" w:rsidRDefault="00E56016" w:rsidP="00E56016">
      <w:pPr>
        <w:spacing w:after="82" w:line="235" w:lineRule="auto"/>
        <w:ind w:left="0" w:firstLine="0"/>
      </w:pPr>
      <w:r>
        <w:rPr>
          <w:rFonts w:ascii="Georgia" w:eastAsia="Georgia" w:hAnsi="Georgia" w:cs="Georgia"/>
          <w:color w:val="005A70"/>
          <w:sz w:val="36"/>
        </w:rPr>
        <w:t xml:space="preserve">What was announced in the Budget 2021-22? </w:t>
      </w:r>
    </w:p>
    <w:p w14:paraId="6B457C67" w14:textId="77777777" w:rsidR="00E56016" w:rsidRDefault="00E56016" w:rsidP="00E56016">
      <w:pPr>
        <w:ind w:left="-5" w:right="14"/>
      </w:pPr>
      <w:r>
        <w:rPr>
          <w:color w:val="000000" w:themeColor="text1"/>
        </w:rPr>
        <w:t xml:space="preserve">The Australian Government is improving the Pension Loans Scheme to </w:t>
      </w:r>
      <w:r>
        <w:t>increase its flexibility and make it more attractive to senior Australians.</w:t>
      </w:r>
      <w:r>
        <w:rPr>
          <w:color w:val="000000" w:themeColor="text1"/>
        </w:rPr>
        <w:t xml:space="preserve"> The Government is delivering on a legislated package of measures that permanently increases base rates of working age payments and income free areas. We are also providing additional funding to up to 10 projects through the Try, Test and Learn Fund to support people at risk of long-term welfare dependence into work.</w:t>
      </w:r>
    </w:p>
    <w:p w14:paraId="63C27A45" w14:textId="77777777" w:rsidR="00E56016" w:rsidRDefault="00E56016" w:rsidP="00E56016">
      <w:pPr>
        <w:ind w:left="0" w:right="14" w:firstLine="0"/>
      </w:pPr>
    </w:p>
    <w:p w14:paraId="36D996D6" w14:textId="77777777" w:rsidR="00E56016" w:rsidRDefault="00E56016" w:rsidP="00E56016">
      <w:pPr>
        <w:pStyle w:val="Heading1"/>
        <w:ind w:left="-5"/>
      </w:pPr>
      <w:r>
        <w:t>Increasing the Flexibility of the Pension Loans Scheme</w:t>
      </w:r>
    </w:p>
    <w:p w14:paraId="547C6D8D" w14:textId="77777777" w:rsidR="00E56016" w:rsidRDefault="00E56016" w:rsidP="00E56016">
      <w:pPr>
        <w:ind w:left="-5" w:right="14"/>
        <w:rPr>
          <w:color w:val="000000" w:themeColor="text1"/>
        </w:rPr>
      </w:pPr>
      <w:r>
        <w:rPr>
          <w:color w:val="000000" w:themeColor="text1"/>
        </w:rPr>
        <w:t xml:space="preserve">The Australian Government is further improving the Pension Loans Scheme to </w:t>
      </w:r>
      <w:r>
        <w:t xml:space="preserve">increase its flexibility and make it more attractive to senior Australians. </w:t>
      </w:r>
    </w:p>
    <w:p w14:paraId="4483A3F2" w14:textId="77777777" w:rsidR="00E56016" w:rsidRDefault="00E56016" w:rsidP="00E56016">
      <w:pPr>
        <w:ind w:left="-5" w:right="14"/>
        <w:rPr>
          <w:color w:val="000000" w:themeColor="text1"/>
        </w:rPr>
      </w:pPr>
    </w:p>
    <w:p w14:paraId="09356012" w14:textId="77777777" w:rsidR="00E56016" w:rsidRDefault="00E56016" w:rsidP="00E56016">
      <w:pPr>
        <w:ind w:left="-5" w:right="14"/>
      </w:pPr>
      <w:r>
        <w:rPr>
          <w:color w:val="000000" w:themeColor="text1"/>
        </w:rPr>
        <w:t>These reforms build on the measure announc</w:t>
      </w:r>
      <w:r w:rsidR="00834EEE">
        <w:rPr>
          <w:color w:val="000000" w:themeColor="text1"/>
        </w:rPr>
        <w:t xml:space="preserve">ed in Budget 2020-21 where </w:t>
      </w:r>
      <w:r w:rsidR="00834EEE">
        <w:rPr>
          <w:color w:val="000000" w:themeColor="text1"/>
        </w:rPr>
        <w:br/>
        <w:t>$9.</w:t>
      </w:r>
      <w:r w:rsidR="00D9110E">
        <w:rPr>
          <w:color w:val="000000" w:themeColor="text1"/>
        </w:rPr>
        <w:t>6</w:t>
      </w:r>
      <w:r>
        <w:rPr>
          <w:color w:val="000000" w:themeColor="text1"/>
        </w:rPr>
        <w:t xml:space="preserve"> million was committed to improve digital service delivery for the Pension Loans Scheme, making it easier for senior Australians to access.</w:t>
      </w:r>
    </w:p>
    <w:p w14:paraId="5FB34E41" w14:textId="77777777" w:rsidR="00E56016" w:rsidRDefault="00E56016" w:rsidP="00E56016"/>
    <w:p w14:paraId="7CCE0AE5" w14:textId="77777777" w:rsidR="00E56016" w:rsidRDefault="00E56016" w:rsidP="00E56016">
      <w:pPr>
        <w:pStyle w:val="Heading1"/>
        <w:ind w:left="-5"/>
      </w:pPr>
      <w:bookmarkStart w:id="0" w:name="_GoBack"/>
      <w:r>
        <w:rPr>
          <w:noProof/>
        </w:rPr>
        <w:drawing>
          <wp:anchor distT="0" distB="0" distL="114300" distR="114300" simplePos="0" relativeHeight="251656192" behindDoc="0" locked="0" layoutInCell="1" allowOverlap="0" wp14:anchorId="4995A794" wp14:editId="0D4AAEB6">
            <wp:simplePos x="0" y="0"/>
            <wp:positionH relativeFrom="page">
              <wp:posOffset>635</wp:posOffset>
            </wp:positionH>
            <wp:positionV relativeFrom="page">
              <wp:posOffset>360045</wp:posOffset>
            </wp:positionV>
            <wp:extent cx="7538720" cy="1435735"/>
            <wp:effectExtent l="0" t="0" r="5080" b="0"/>
            <wp:wrapTopAndBottom/>
            <wp:docPr id="7" name="Picture 7" title="Department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8720" cy="1435735"/>
                    </a:xfrm>
                    <a:prstGeom prst="rect">
                      <a:avLst/>
                    </a:prstGeom>
                    <a:noFill/>
                  </pic:spPr>
                </pic:pic>
              </a:graphicData>
            </a:graphic>
            <wp14:sizeRelH relativeFrom="page">
              <wp14:pctWidth>0</wp14:pctWidth>
            </wp14:sizeRelH>
            <wp14:sizeRelV relativeFrom="page">
              <wp14:pctHeight>0</wp14:pctHeight>
            </wp14:sizeRelV>
          </wp:anchor>
        </w:drawing>
      </w:r>
      <w:bookmarkEnd w:id="0"/>
      <w:r>
        <w:t xml:space="preserve">Measure </w:t>
      </w:r>
    </w:p>
    <w:p w14:paraId="0784F9FE" w14:textId="77777777" w:rsidR="00E56016" w:rsidRDefault="00E56016" w:rsidP="00E56016">
      <w:pPr>
        <w:spacing w:after="0"/>
        <w:ind w:left="-5" w:right="14"/>
        <w:rPr>
          <w:color w:val="000000" w:themeColor="text1"/>
          <w:szCs w:val="24"/>
        </w:rPr>
      </w:pPr>
      <w:r>
        <w:rPr>
          <w:color w:val="000000" w:themeColor="text1"/>
          <w:szCs w:val="24"/>
        </w:rPr>
        <w:t>From 1 July 2022, pending the passage of legislation, Pension Loans Scheme recipients will benefit from:</w:t>
      </w:r>
    </w:p>
    <w:p w14:paraId="1377300F" w14:textId="77777777" w:rsidR="00E56016" w:rsidRDefault="00E56016" w:rsidP="00E56016">
      <w:pPr>
        <w:pStyle w:val="ListParagraph"/>
        <w:numPr>
          <w:ilvl w:val="0"/>
          <w:numId w:val="13"/>
        </w:numPr>
        <w:spacing w:line="249" w:lineRule="auto"/>
        <w:ind w:right="14"/>
        <w:contextualSpacing/>
        <w:rPr>
          <w:rFonts w:ascii="Arial" w:hAnsi="Arial" w:cs="Arial"/>
          <w:color w:val="000000" w:themeColor="text1"/>
          <w:sz w:val="24"/>
          <w:szCs w:val="24"/>
        </w:rPr>
      </w:pPr>
      <w:r>
        <w:rPr>
          <w:rFonts w:ascii="Arial" w:hAnsi="Arial" w:cs="Arial"/>
          <w:color w:val="000000" w:themeColor="text1"/>
          <w:sz w:val="24"/>
          <w:szCs w:val="24"/>
        </w:rPr>
        <w:t>a No Negative Equity Guarantee, which means recipients will never owe more than the value of the equity in the secured property, and</w:t>
      </w:r>
    </w:p>
    <w:p w14:paraId="5E7B7E6C" w14:textId="77777777" w:rsidR="00E56016" w:rsidRDefault="00E56016" w:rsidP="00E56016">
      <w:pPr>
        <w:pStyle w:val="ListParagraph"/>
        <w:numPr>
          <w:ilvl w:val="0"/>
          <w:numId w:val="13"/>
        </w:numPr>
        <w:spacing w:line="249" w:lineRule="auto"/>
        <w:ind w:right="14"/>
        <w:contextualSpacing/>
        <w:rPr>
          <w:rFonts w:ascii="Arial" w:hAnsi="Arial" w:cs="Arial"/>
          <w:color w:val="000000" w:themeColor="text1"/>
          <w:sz w:val="24"/>
          <w:szCs w:val="24"/>
        </w:rPr>
      </w:pPr>
      <w:r>
        <w:rPr>
          <w:rFonts w:ascii="Arial" w:hAnsi="Arial" w:cs="Arial"/>
          <w:color w:val="000000" w:themeColor="text1"/>
          <w:sz w:val="24"/>
          <w:szCs w:val="24"/>
        </w:rPr>
        <w:t xml:space="preserve">access to capped advance payments. </w:t>
      </w:r>
    </w:p>
    <w:p w14:paraId="42ADE04F" w14:textId="77777777" w:rsidR="00E56016" w:rsidRDefault="00E56016" w:rsidP="00E56016">
      <w:pPr>
        <w:spacing w:after="0"/>
        <w:ind w:left="0" w:right="14" w:firstLine="0"/>
        <w:rPr>
          <w:color w:val="000000" w:themeColor="text1"/>
          <w:szCs w:val="24"/>
        </w:rPr>
      </w:pPr>
    </w:p>
    <w:p w14:paraId="2382FFD5" w14:textId="77777777" w:rsidR="00E56016" w:rsidRDefault="00E56016" w:rsidP="00E56016">
      <w:pPr>
        <w:spacing w:after="0"/>
        <w:ind w:left="0" w:right="14" w:firstLine="0"/>
        <w:rPr>
          <w:color w:val="000000" w:themeColor="text1"/>
          <w:szCs w:val="24"/>
        </w:rPr>
      </w:pPr>
      <w:r>
        <w:rPr>
          <w:color w:val="000000" w:themeColor="text1"/>
          <w:szCs w:val="24"/>
        </w:rPr>
        <w:t xml:space="preserve">Recipients will be able to access up to two lump sum advances in any 12-month period, up to a total value of 50 per cent of the maximum annual rate of Age Pension.  </w:t>
      </w:r>
    </w:p>
    <w:p w14:paraId="739D4CA4" w14:textId="77777777" w:rsidR="00E56016" w:rsidRDefault="00E56016" w:rsidP="00E56016">
      <w:pPr>
        <w:spacing w:after="0"/>
        <w:ind w:left="0" w:right="14" w:firstLine="0"/>
        <w:rPr>
          <w:color w:val="000000" w:themeColor="text1"/>
        </w:rPr>
      </w:pPr>
    </w:p>
    <w:p w14:paraId="74922D9B" w14:textId="77777777" w:rsidR="00E56016" w:rsidRDefault="00E56016" w:rsidP="00E56016">
      <w:pPr>
        <w:spacing w:after="0"/>
        <w:ind w:left="0" w:right="14" w:firstLine="0"/>
        <w:rPr>
          <w:color w:val="000000" w:themeColor="text1"/>
        </w:rPr>
      </w:pPr>
      <w:r>
        <w:rPr>
          <w:color w:val="000000" w:themeColor="text1"/>
        </w:rPr>
        <w:t>Based on current Age Pension rates, a single person would be able to receive lump sum payments of up to around $12,38</w:t>
      </w:r>
      <w:r w:rsidR="009F7FE4">
        <w:rPr>
          <w:color w:val="000000" w:themeColor="text1"/>
        </w:rPr>
        <w:t>5</w:t>
      </w:r>
      <w:r>
        <w:rPr>
          <w:color w:val="000000" w:themeColor="text1"/>
        </w:rPr>
        <w:t xml:space="preserve"> per year, while couples combined could receive up to around $18,670. </w:t>
      </w:r>
    </w:p>
    <w:p w14:paraId="26EC813B" w14:textId="77777777" w:rsidR="00E56016" w:rsidRDefault="00E56016" w:rsidP="00E56016">
      <w:pPr>
        <w:spacing w:after="0"/>
        <w:ind w:left="0" w:right="14" w:firstLine="0"/>
        <w:rPr>
          <w:color w:val="000000" w:themeColor="text1"/>
        </w:rPr>
      </w:pPr>
    </w:p>
    <w:p w14:paraId="5A2679E4" w14:textId="77777777" w:rsidR="00E56016" w:rsidRDefault="00E56016" w:rsidP="00E56016">
      <w:pPr>
        <w:spacing w:after="0"/>
        <w:ind w:left="0" w:right="14" w:firstLine="0"/>
        <w:rPr>
          <w:color w:val="000000" w:themeColor="text1"/>
        </w:rPr>
      </w:pPr>
      <w:r>
        <w:rPr>
          <w:color w:val="000000" w:themeColor="text1"/>
        </w:rPr>
        <w:t xml:space="preserve">The total amount of pension plus loan available will still be capped at 150 per cent of the maximum rate of Age Pension, so </w:t>
      </w:r>
      <w:r>
        <w:rPr>
          <w:color w:val="000000" w:themeColor="text1"/>
        </w:rPr>
        <w:lastRenderedPageBreak/>
        <w:t xml:space="preserve">any advance taken will reduce the maximum fortnightly loan amount a person can take over the rest of the year. </w:t>
      </w:r>
    </w:p>
    <w:p w14:paraId="111F0848" w14:textId="77777777" w:rsidR="00E56016" w:rsidRDefault="00E56016" w:rsidP="00E56016">
      <w:pPr>
        <w:spacing w:after="0"/>
        <w:ind w:left="0" w:right="14" w:firstLine="0"/>
        <w:rPr>
          <w:color w:val="000000" w:themeColor="text1"/>
        </w:rPr>
      </w:pPr>
    </w:p>
    <w:p w14:paraId="6E8D6D92" w14:textId="77777777" w:rsidR="00E56016" w:rsidRDefault="00E56016" w:rsidP="00E56016">
      <w:pPr>
        <w:spacing w:after="0"/>
        <w:ind w:left="0" w:right="14" w:firstLine="0"/>
        <w:rPr>
          <w:color w:val="000000" w:themeColor="text1"/>
        </w:rPr>
      </w:pPr>
      <w:r>
        <w:rPr>
          <w:color w:val="000000" w:themeColor="text1"/>
        </w:rPr>
        <w:t>The Australian Government will also be raising awareness of the Pension Loans Scheme and how it can benefit senior Australians in their retirement.</w:t>
      </w:r>
    </w:p>
    <w:p w14:paraId="42B17BD1" w14:textId="77777777" w:rsidR="00E56016" w:rsidRDefault="00E56016" w:rsidP="00E56016">
      <w:pPr>
        <w:spacing w:after="0"/>
        <w:ind w:left="-5" w:right="14"/>
        <w:rPr>
          <w:color w:val="000000" w:themeColor="text1"/>
        </w:rPr>
      </w:pPr>
    </w:p>
    <w:p w14:paraId="2DE7CB7B" w14:textId="77777777" w:rsidR="00E56016" w:rsidRDefault="00E56016" w:rsidP="00E56016">
      <w:pPr>
        <w:pStyle w:val="Heading1"/>
        <w:ind w:left="-5"/>
      </w:pPr>
      <w:r>
        <w:t xml:space="preserve">Key facts </w:t>
      </w:r>
    </w:p>
    <w:p w14:paraId="3075FD42" w14:textId="77777777" w:rsidR="00E56016" w:rsidRDefault="00E56016" w:rsidP="00E56016">
      <w:pPr>
        <w:pStyle w:val="ListParagraph"/>
        <w:numPr>
          <w:ilvl w:val="0"/>
          <w:numId w:val="14"/>
        </w:numPr>
        <w:spacing w:after="4" w:line="249" w:lineRule="auto"/>
        <w:contextualSpacing/>
        <w:rPr>
          <w:rFonts w:ascii="Arial" w:hAnsi="Arial" w:cs="Arial"/>
          <w:sz w:val="24"/>
          <w:szCs w:val="24"/>
        </w:rPr>
      </w:pPr>
      <w:r>
        <w:rPr>
          <w:rFonts w:ascii="Arial" w:hAnsi="Arial" w:cs="Arial"/>
          <w:sz w:val="24"/>
          <w:szCs w:val="24"/>
        </w:rPr>
        <w:t>The Pension Loans Scheme supports higher financial independence and quality of life by enabling senior Australians to generate additional retirement income through accessing the equity in their home.</w:t>
      </w:r>
    </w:p>
    <w:p w14:paraId="3981A312" w14:textId="77777777" w:rsidR="00E56016" w:rsidRDefault="00E56016" w:rsidP="00E56016">
      <w:pPr>
        <w:pStyle w:val="ListParagraph"/>
        <w:rPr>
          <w:rFonts w:ascii="Arial" w:hAnsi="Arial" w:cs="Arial"/>
          <w:sz w:val="24"/>
          <w:szCs w:val="24"/>
        </w:rPr>
      </w:pPr>
    </w:p>
    <w:p w14:paraId="3D59B810" w14:textId="77777777" w:rsidR="00E56016" w:rsidRDefault="00E56016" w:rsidP="00E56016">
      <w:pPr>
        <w:pStyle w:val="ListParagraph"/>
        <w:numPr>
          <w:ilvl w:val="0"/>
          <w:numId w:val="14"/>
        </w:numPr>
        <w:spacing w:after="4" w:line="249" w:lineRule="auto"/>
        <w:contextualSpacing/>
        <w:rPr>
          <w:rFonts w:ascii="Arial" w:hAnsi="Arial" w:cs="Arial"/>
          <w:sz w:val="24"/>
          <w:szCs w:val="24"/>
        </w:rPr>
      </w:pPr>
      <w:r>
        <w:rPr>
          <w:rFonts w:ascii="Arial" w:hAnsi="Arial" w:cs="Arial"/>
          <w:sz w:val="24"/>
          <w:szCs w:val="24"/>
        </w:rPr>
        <w:t>The Retirement Income Review highlighted that drawing on a small portion of home equity can substantially improve the retirement outcomes of senior Australians.</w:t>
      </w:r>
    </w:p>
    <w:p w14:paraId="35F72570" w14:textId="77777777" w:rsidR="00E56016" w:rsidRDefault="00E56016" w:rsidP="00E56016">
      <w:pPr>
        <w:pStyle w:val="ListParagraph"/>
        <w:rPr>
          <w:rFonts w:ascii="Arial" w:hAnsi="Arial" w:cs="Arial"/>
          <w:sz w:val="24"/>
          <w:szCs w:val="24"/>
        </w:rPr>
      </w:pPr>
    </w:p>
    <w:p w14:paraId="65641B8B" w14:textId="77777777" w:rsidR="00DB3525" w:rsidRDefault="00DB3525" w:rsidP="00DB3525">
      <w:pPr>
        <w:pStyle w:val="Heading1"/>
        <w:ind w:left="-5"/>
      </w:pPr>
      <w:r w:rsidRPr="00DB3525">
        <w:t xml:space="preserve">Increased support for unemployed Australians </w:t>
      </w:r>
    </w:p>
    <w:p w14:paraId="4C8185E0" w14:textId="77777777" w:rsidR="00E56016" w:rsidRDefault="00E56016" w:rsidP="00E56016">
      <w:pPr>
        <w:ind w:left="-5" w:right="14"/>
        <w:rPr>
          <w:color w:val="000000" w:themeColor="text1"/>
        </w:rPr>
      </w:pPr>
      <w:r>
        <w:rPr>
          <w:color w:val="000000" w:themeColor="text1"/>
        </w:rPr>
        <w:t>The Australian Government has legislated a package of measures that permanently increases base rates of working age payments and income free areas.</w:t>
      </w:r>
    </w:p>
    <w:p w14:paraId="1FF9CF2C" w14:textId="77777777" w:rsidR="00E56016" w:rsidRDefault="00E56016" w:rsidP="00E56016">
      <w:pPr>
        <w:ind w:left="-5" w:right="14"/>
        <w:rPr>
          <w:color w:val="000000" w:themeColor="text1"/>
        </w:rPr>
      </w:pPr>
    </w:p>
    <w:p w14:paraId="4D8D9AEF" w14:textId="77777777" w:rsidR="00E56016" w:rsidRDefault="00E56016" w:rsidP="00E56016">
      <w:pPr>
        <w:ind w:left="-5" w:right="14"/>
      </w:pPr>
      <w:r>
        <w:rPr>
          <w:color w:val="000000" w:themeColor="text1"/>
        </w:rPr>
        <w:t>These measures guarantee future arrangements for Australians to rely on should they find themselves out of work.</w:t>
      </w:r>
    </w:p>
    <w:p w14:paraId="4C7D9565" w14:textId="77777777" w:rsidR="00E56016" w:rsidRDefault="00E56016" w:rsidP="00E56016">
      <w:pPr>
        <w:ind w:left="-5" w:right="14"/>
      </w:pPr>
    </w:p>
    <w:p w14:paraId="08D923FA" w14:textId="3F521C2D" w:rsidR="00E56016" w:rsidRDefault="00E56016" w:rsidP="00E56016">
      <w:pPr>
        <w:pStyle w:val="Heading1"/>
        <w:ind w:left="-5"/>
      </w:pPr>
      <w:r>
        <w:t xml:space="preserve">Measure </w:t>
      </w:r>
    </w:p>
    <w:p w14:paraId="0D45F0F6" w14:textId="77777777" w:rsidR="003D3027" w:rsidRPr="0021047D" w:rsidRDefault="00E56016" w:rsidP="003D3027">
      <w:pPr>
        <w:spacing w:line="249" w:lineRule="auto"/>
        <w:ind w:left="0" w:right="14" w:firstLine="0"/>
        <w:contextualSpacing/>
        <w:rPr>
          <w:color w:val="000000" w:themeColor="text1"/>
          <w:szCs w:val="24"/>
        </w:rPr>
      </w:pPr>
      <w:r>
        <w:rPr>
          <w:color w:val="000000" w:themeColor="text1"/>
          <w:szCs w:val="24"/>
        </w:rPr>
        <w:t>From 1 April 2021</w:t>
      </w:r>
      <w:r w:rsidR="003D3027">
        <w:rPr>
          <w:color w:val="000000" w:themeColor="text1"/>
          <w:szCs w:val="24"/>
        </w:rPr>
        <w:t xml:space="preserve"> </w:t>
      </w:r>
      <w:r w:rsidR="003D3027" w:rsidRPr="0021047D">
        <w:rPr>
          <w:color w:val="000000" w:themeColor="text1"/>
          <w:szCs w:val="24"/>
        </w:rPr>
        <w:t>the base rate of working age payments increased by $50 per fortnigh</w:t>
      </w:r>
      <w:r w:rsidR="003D3027">
        <w:rPr>
          <w:color w:val="000000" w:themeColor="text1"/>
          <w:szCs w:val="24"/>
        </w:rPr>
        <w:t xml:space="preserve">t, and the income free area for some working age payments increased to $150 per fortnight. </w:t>
      </w:r>
    </w:p>
    <w:p w14:paraId="4F39B740" w14:textId="77777777" w:rsidR="00E56016" w:rsidRDefault="00E56016" w:rsidP="00E56016">
      <w:pPr>
        <w:spacing w:after="0"/>
        <w:ind w:left="-5" w:right="14"/>
        <w:rPr>
          <w:color w:val="000000" w:themeColor="text1"/>
          <w:szCs w:val="24"/>
        </w:rPr>
      </w:pPr>
      <w:r>
        <w:rPr>
          <w:color w:val="000000" w:themeColor="text1"/>
          <w:szCs w:val="24"/>
        </w:rPr>
        <w:t xml:space="preserve"> </w:t>
      </w:r>
    </w:p>
    <w:p w14:paraId="743800B1" w14:textId="77777777" w:rsidR="00E56016" w:rsidRDefault="00E56016" w:rsidP="00E56016">
      <w:pPr>
        <w:rPr>
          <w:color w:val="000000" w:themeColor="text1"/>
          <w:szCs w:val="24"/>
        </w:rPr>
      </w:pPr>
    </w:p>
    <w:p w14:paraId="237F7C77" w14:textId="77777777" w:rsidR="00E56016" w:rsidRDefault="003D3027" w:rsidP="00E56016">
      <w:pPr>
        <w:rPr>
          <w:color w:val="000000" w:themeColor="text1"/>
          <w:szCs w:val="24"/>
        </w:rPr>
      </w:pPr>
      <w:r>
        <w:rPr>
          <w:color w:val="000000" w:themeColor="text1"/>
          <w:szCs w:val="24"/>
        </w:rPr>
        <w:t>The rate increase applied</w:t>
      </w:r>
      <w:r w:rsidR="00E56016">
        <w:rPr>
          <w:color w:val="000000" w:themeColor="text1"/>
          <w:szCs w:val="24"/>
        </w:rPr>
        <w:t xml:space="preserve"> to recipients of: </w:t>
      </w:r>
    </w:p>
    <w:p w14:paraId="6CD6A5F0" w14:textId="77777777" w:rsidR="00E56016" w:rsidRDefault="00E56016" w:rsidP="00E56016">
      <w:pPr>
        <w:pStyle w:val="ListParagraph"/>
        <w:numPr>
          <w:ilvl w:val="0"/>
          <w:numId w:val="16"/>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JobSeeker Payment</w:t>
      </w:r>
    </w:p>
    <w:p w14:paraId="01A8D7AF"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Parenting Payment</w:t>
      </w:r>
    </w:p>
    <w:p w14:paraId="456712D7"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Youth Allowance (including Youth Disability Support Pension)</w:t>
      </w:r>
    </w:p>
    <w:p w14:paraId="1E4A99C6"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Austudy</w:t>
      </w:r>
    </w:p>
    <w:p w14:paraId="2EFA13CD"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ABSTUDY (Living Allowance)</w:t>
      </w:r>
    </w:p>
    <w:p w14:paraId="4AD67544"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Special Benefit</w:t>
      </w:r>
    </w:p>
    <w:p w14:paraId="205D8AB8"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Partner Allowance</w:t>
      </w:r>
    </w:p>
    <w:p w14:paraId="3F9F8697"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Widow Allowance</w:t>
      </w:r>
    </w:p>
    <w:p w14:paraId="65FB2F36"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Farm Household Allowance</w:t>
      </w:r>
    </w:p>
    <w:p w14:paraId="704F1B15"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Department of Veterans’ Affairs Education Scheme, and </w:t>
      </w:r>
    </w:p>
    <w:p w14:paraId="25CEE71F" w14:textId="77777777" w:rsidR="00E56016" w:rsidRDefault="00E56016" w:rsidP="00E56016">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New Enterprise Incentive Scheme.</w:t>
      </w:r>
    </w:p>
    <w:p w14:paraId="0D8558B9" w14:textId="77777777" w:rsidR="003D3027" w:rsidRPr="00DB5D94" w:rsidRDefault="003D3027" w:rsidP="00DB5D94">
      <w:pPr>
        <w:spacing w:line="249" w:lineRule="auto"/>
        <w:ind w:left="0" w:right="14" w:firstLine="0"/>
        <w:contextualSpacing/>
        <w:rPr>
          <w:color w:val="000000" w:themeColor="text1"/>
          <w:szCs w:val="24"/>
        </w:rPr>
      </w:pPr>
    </w:p>
    <w:p w14:paraId="4FA9571F" w14:textId="77777777" w:rsidR="003D3027" w:rsidRPr="00DB5D94" w:rsidRDefault="003D3027" w:rsidP="00DB5D94">
      <w:pPr>
        <w:spacing w:line="249" w:lineRule="auto"/>
        <w:ind w:left="-10" w:right="14" w:firstLine="0"/>
        <w:contextualSpacing/>
        <w:rPr>
          <w:color w:val="000000" w:themeColor="text1"/>
          <w:szCs w:val="24"/>
        </w:rPr>
      </w:pPr>
      <w:r>
        <w:rPr>
          <w:color w:val="000000" w:themeColor="text1"/>
          <w:szCs w:val="24"/>
        </w:rPr>
        <w:t>The increase in the</w:t>
      </w:r>
      <w:r w:rsidRPr="00DB5D94">
        <w:rPr>
          <w:color w:val="000000" w:themeColor="text1"/>
          <w:szCs w:val="24"/>
        </w:rPr>
        <w:t xml:space="preserve"> income free area </w:t>
      </w:r>
      <w:r>
        <w:rPr>
          <w:color w:val="000000" w:themeColor="text1"/>
          <w:szCs w:val="24"/>
        </w:rPr>
        <w:t>applied to recipients of:</w:t>
      </w:r>
    </w:p>
    <w:p w14:paraId="2E8016A8" w14:textId="77777777" w:rsidR="003D3027" w:rsidRDefault="003D3027" w:rsidP="003D3027">
      <w:pPr>
        <w:pStyle w:val="ListParagraph"/>
        <w:numPr>
          <w:ilvl w:val="0"/>
          <w:numId w:val="16"/>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JobSeeker Payment</w:t>
      </w:r>
    </w:p>
    <w:p w14:paraId="02F1EF12" w14:textId="77777777" w:rsidR="003D3027" w:rsidRDefault="003D3027" w:rsidP="003D3027">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Parenting Payment</w:t>
      </w:r>
    </w:p>
    <w:p w14:paraId="166D3652" w14:textId="77777777" w:rsidR="003D3027" w:rsidRDefault="003D3027" w:rsidP="003D3027">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Youth Allowance (Other)</w:t>
      </w:r>
    </w:p>
    <w:p w14:paraId="76C9A4C8" w14:textId="77777777" w:rsidR="003D3027" w:rsidRDefault="003D3027" w:rsidP="003D3027">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Partner Allowance</w:t>
      </w:r>
    </w:p>
    <w:p w14:paraId="30C377F4" w14:textId="77777777" w:rsidR="003D3027" w:rsidRPr="00DB5D94" w:rsidRDefault="003D3027" w:rsidP="00DA7160">
      <w:pPr>
        <w:pStyle w:val="ListParagraph"/>
        <w:numPr>
          <w:ilvl w:val="0"/>
          <w:numId w:val="17"/>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Widow Allowance</w:t>
      </w:r>
    </w:p>
    <w:p w14:paraId="55DDA9AD" w14:textId="77777777" w:rsidR="00E56016" w:rsidRDefault="00E56016" w:rsidP="00E56016"/>
    <w:p w14:paraId="33C32A1D" w14:textId="77777777" w:rsidR="008D7A0A" w:rsidRDefault="008D7A0A" w:rsidP="00E56016">
      <w:r>
        <w:t>In addition, i</w:t>
      </w:r>
      <w:r w:rsidRPr="008D7A0A">
        <w:t>ndividuals who are required to quarantine, self isolate, or care for someone as a result of COVID-19 and do not have access to paid leave can continue to access income support.</w:t>
      </w:r>
    </w:p>
    <w:p w14:paraId="61337353" w14:textId="77777777" w:rsidR="008D7A0A" w:rsidRDefault="008D7A0A" w:rsidP="00E56016"/>
    <w:p w14:paraId="0DDC1A5C" w14:textId="77777777" w:rsidR="00E56016" w:rsidRDefault="00E56016" w:rsidP="00E56016">
      <w:pPr>
        <w:pStyle w:val="Heading1"/>
        <w:ind w:left="-5"/>
      </w:pPr>
      <w:r>
        <w:t xml:space="preserve">Key facts </w:t>
      </w:r>
    </w:p>
    <w:p w14:paraId="4FEC01C7" w14:textId="77777777" w:rsidR="00E56016" w:rsidRDefault="00E56016" w:rsidP="00E56016">
      <w:pPr>
        <w:pStyle w:val="ListParagraph"/>
        <w:numPr>
          <w:ilvl w:val="0"/>
          <w:numId w:val="14"/>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These measures started on 1 April 2021.</w:t>
      </w:r>
    </w:p>
    <w:p w14:paraId="2C0D1EA3" w14:textId="71B8C601" w:rsidR="00E56016" w:rsidRDefault="00E56016" w:rsidP="00E56016">
      <w:pPr>
        <w:pStyle w:val="ListParagraph"/>
        <w:numPr>
          <w:ilvl w:val="0"/>
          <w:numId w:val="14"/>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Approximately 1.</w:t>
      </w:r>
      <w:r w:rsidR="00AE7BF9">
        <w:rPr>
          <w:rFonts w:ascii="Arial" w:hAnsi="Arial" w:cs="Arial"/>
          <w:color w:val="000000" w:themeColor="text1"/>
          <w:sz w:val="24"/>
          <w:szCs w:val="24"/>
        </w:rPr>
        <w:t>9</w:t>
      </w:r>
      <w:r>
        <w:rPr>
          <w:rFonts w:ascii="Arial" w:hAnsi="Arial" w:cs="Arial"/>
          <w:color w:val="000000" w:themeColor="text1"/>
          <w:sz w:val="24"/>
          <w:szCs w:val="24"/>
        </w:rPr>
        <w:t xml:space="preserve"> million working age payment recipients are already benefitting from these measures.</w:t>
      </w:r>
    </w:p>
    <w:p w14:paraId="0E5D29E9" w14:textId="77777777" w:rsidR="00E56016" w:rsidRDefault="00E56016" w:rsidP="00E56016">
      <w:pPr>
        <w:pStyle w:val="ListParagraph"/>
        <w:numPr>
          <w:ilvl w:val="0"/>
          <w:numId w:val="14"/>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This is the biggest year on year increase to the rate of unemployment benefits since 1986.</w:t>
      </w:r>
    </w:p>
    <w:p w14:paraId="271D8931" w14:textId="77777777" w:rsidR="00E56016" w:rsidRDefault="00E56016" w:rsidP="00E56016">
      <w:pPr>
        <w:pStyle w:val="ListParagraph"/>
        <w:numPr>
          <w:ilvl w:val="0"/>
          <w:numId w:val="14"/>
        </w:numPr>
        <w:spacing w:after="4" w:line="249" w:lineRule="auto"/>
        <w:contextualSpacing/>
        <w:rPr>
          <w:rFonts w:ascii="Arial" w:hAnsi="Arial" w:cs="Arial"/>
          <w:color w:val="000000" w:themeColor="text1"/>
          <w:sz w:val="24"/>
          <w:szCs w:val="24"/>
        </w:rPr>
      </w:pPr>
      <w:r>
        <w:rPr>
          <w:rFonts w:ascii="Arial" w:hAnsi="Arial" w:cs="Arial"/>
          <w:color w:val="000000" w:themeColor="text1"/>
          <w:sz w:val="24"/>
          <w:szCs w:val="24"/>
        </w:rPr>
        <w:t>These measures were timed with the cessation of the Coronavirus Supplement</w:t>
      </w:r>
      <w:r w:rsidR="00DA7160">
        <w:rPr>
          <w:rFonts w:ascii="Arial" w:hAnsi="Arial" w:cs="Arial"/>
          <w:color w:val="000000" w:themeColor="text1"/>
          <w:sz w:val="24"/>
          <w:szCs w:val="24"/>
        </w:rPr>
        <w:t>,</w:t>
      </w:r>
      <w:r>
        <w:rPr>
          <w:rFonts w:ascii="Arial" w:hAnsi="Arial" w:cs="Arial"/>
          <w:color w:val="000000" w:themeColor="text1"/>
          <w:sz w:val="24"/>
          <w:szCs w:val="24"/>
        </w:rPr>
        <w:t xml:space="preserve"> which was a temporary, emergency response that came into place when the labour market effectively closed overnight with the onset of the Coronavirus pandemic.</w:t>
      </w:r>
    </w:p>
    <w:p w14:paraId="3324E376" w14:textId="77777777" w:rsidR="00E56016" w:rsidRDefault="00E56016" w:rsidP="00E56016">
      <w:pPr>
        <w:pStyle w:val="Heading1"/>
        <w:ind w:left="-5"/>
      </w:pPr>
    </w:p>
    <w:p w14:paraId="2936E45C" w14:textId="77777777" w:rsidR="00E56016" w:rsidRPr="00655192" w:rsidRDefault="00E56016" w:rsidP="00655192">
      <w:pPr>
        <w:pStyle w:val="Heading1"/>
        <w:ind w:left="-5"/>
      </w:pPr>
      <w:r w:rsidRPr="00655192">
        <w:t>Transition Funding for Successful Try, Test and Learn Projects</w:t>
      </w:r>
    </w:p>
    <w:p w14:paraId="39E363A1" w14:textId="77777777" w:rsidR="00E56016" w:rsidRDefault="00E56016" w:rsidP="00E56016">
      <w:r>
        <w:t>More than $12 million will be provided over two years from 2021-22 to support up to 10</w:t>
      </w:r>
      <w:r w:rsidR="00AE7BF9">
        <w:t> </w:t>
      </w:r>
      <w:r>
        <w:t xml:space="preserve">projects through the Try, Test and Learn Fund that have demonstrated promise in </w:t>
      </w:r>
      <w:r>
        <w:lastRenderedPageBreak/>
        <w:t>supporting key groups of people at risk of long-term welfare dependence into work. This new fun</w:t>
      </w:r>
      <w:r w:rsidR="00AE7BF9">
        <w:t>ding will be in the form of one</w:t>
      </w:r>
      <w:r w:rsidR="00AE7BF9">
        <w:noBreakHyphen/>
      </w:r>
      <w:r>
        <w:t>off, time-limited grants.</w:t>
      </w:r>
    </w:p>
    <w:p w14:paraId="6371F8E5" w14:textId="77777777" w:rsidR="00E56016" w:rsidRDefault="00E56016" w:rsidP="00E56016"/>
    <w:p w14:paraId="26664821" w14:textId="77777777" w:rsidR="00E56016" w:rsidRDefault="00DB3525" w:rsidP="00E56016">
      <w:pPr>
        <w:pStyle w:val="Heading1"/>
        <w:ind w:left="-5"/>
      </w:pPr>
      <w:r>
        <w:t>Apply a Consistent Four-</w:t>
      </w:r>
      <w:r w:rsidR="00E56016">
        <w:t xml:space="preserve">Year Newly Arrived Resident's Waiting Period across Payments </w:t>
      </w:r>
    </w:p>
    <w:p w14:paraId="3CE9D2C9" w14:textId="77777777" w:rsidR="00E56016" w:rsidRDefault="00ED0AF7" w:rsidP="00ED0AF7">
      <w:pPr>
        <w:ind w:left="-5" w:right="14"/>
        <w:rPr>
          <w:color w:val="000000" w:themeColor="text1"/>
        </w:rPr>
      </w:pPr>
      <w:r>
        <w:rPr>
          <w:color w:val="000000" w:themeColor="text1"/>
        </w:rPr>
        <w:t xml:space="preserve">The Australian Government is increasing the Newly Arrived Resident’s Waiting Period </w:t>
      </w:r>
      <w:r w:rsidR="00AE7BF9">
        <w:rPr>
          <w:color w:val="000000" w:themeColor="text1"/>
        </w:rPr>
        <w:t xml:space="preserve">(NARWP) </w:t>
      </w:r>
      <w:r>
        <w:rPr>
          <w:color w:val="000000" w:themeColor="text1"/>
        </w:rPr>
        <w:t>for carer and family payments to four years for migrants granted a permanent or relevant temporary visa on or after 1 January 2022.</w:t>
      </w:r>
    </w:p>
    <w:p w14:paraId="714836B8" w14:textId="77777777" w:rsidR="006E254F" w:rsidRDefault="006E254F" w:rsidP="00E56016">
      <w:pPr>
        <w:ind w:left="-5" w:right="14"/>
        <w:rPr>
          <w:color w:val="000000" w:themeColor="text1"/>
        </w:rPr>
      </w:pPr>
    </w:p>
    <w:p w14:paraId="1E385244" w14:textId="77777777" w:rsidR="000606D5" w:rsidRDefault="000606D5" w:rsidP="000606D5">
      <w:pPr>
        <w:ind w:right="14"/>
        <w:rPr>
          <w:rFonts w:eastAsiaTheme="minorHAnsi"/>
          <w:szCs w:val="24"/>
        </w:rPr>
      </w:pPr>
      <w:r>
        <w:t>The changes will not apply to migrants who are granted a permanent residency or a relevant temporary visa prior to 1 January 2022.</w:t>
      </w:r>
    </w:p>
    <w:p w14:paraId="06827553" w14:textId="77777777" w:rsidR="006E254F" w:rsidRDefault="006E254F" w:rsidP="00E56016">
      <w:pPr>
        <w:ind w:left="-5" w:right="14"/>
        <w:rPr>
          <w:color w:val="000000" w:themeColor="text1"/>
        </w:rPr>
      </w:pPr>
    </w:p>
    <w:p w14:paraId="55DBA91F" w14:textId="77777777" w:rsidR="00E56016" w:rsidRDefault="00E56016" w:rsidP="00E56016">
      <w:r>
        <w:t>This change ensures consistent expectations for migrants across most welfare payments, and creates a clearer and easier to understand system.</w:t>
      </w:r>
    </w:p>
    <w:p w14:paraId="66F3FE66" w14:textId="77777777" w:rsidR="006E254F" w:rsidRDefault="006E254F" w:rsidP="006E254F">
      <w:pPr>
        <w:rPr>
          <w:color w:val="000000" w:themeColor="text1"/>
        </w:rPr>
      </w:pPr>
    </w:p>
    <w:p w14:paraId="39737DB9" w14:textId="77777777" w:rsidR="006E254F" w:rsidRDefault="006E254F" w:rsidP="006E254F">
      <w:pPr>
        <w:rPr>
          <w:color w:val="000000" w:themeColor="text1"/>
        </w:rPr>
      </w:pPr>
      <w:r>
        <w:rPr>
          <w:color w:val="000000" w:themeColor="text1"/>
        </w:rPr>
        <w:t xml:space="preserve">This measure will bring the NARWP for Carer Payment, Carer Allowance, Family </w:t>
      </w:r>
      <w:r>
        <w:rPr>
          <w:color w:val="000000" w:themeColor="text1"/>
        </w:rPr>
        <w:t>Tax Benefit Part A and B, Parental Leave Pay and Dad and Partner Pay in to line with the four year waiting period which is currently applied to JobSeeker Payment, Youth Allowance, Austudy, Parenting Payment and other working age payments and concession cards.</w:t>
      </w:r>
    </w:p>
    <w:p w14:paraId="1EAB06EA" w14:textId="77777777" w:rsidR="00E56016" w:rsidRDefault="00E56016" w:rsidP="00E56016"/>
    <w:p w14:paraId="2234F748" w14:textId="77777777" w:rsidR="00E56016" w:rsidRDefault="00E56016" w:rsidP="00E56016">
      <w:pPr>
        <w:rPr>
          <w:color w:val="000000" w:themeColor="text1"/>
        </w:rPr>
      </w:pPr>
      <w:r>
        <w:rPr>
          <w:color w:val="000000" w:themeColor="text1"/>
        </w:rPr>
        <w:t>Importantly, this change further encourages self-sufficiency for newly arrived residents, and improves the sustainability of our welfare system.</w:t>
      </w:r>
    </w:p>
    <w:p w14:paraId="64FF4871" w14:textId="77777777" w:rsidR="006E254F" w:rsidRDefault="006E254F" w:rsidP="00E56016">
      <w:pPr>
        <w:rPr>
          <w:color w:val="000000" w:themeColor="text1"/>
        </w:rPr>
      </w:pPr>
    </w:p>
    <w:p w14:paraId="5B831006" w14:textId="5B3D99E6" w:rsidR="005D03D9" w:rsidRDefault="005D03D9" w:rsidP="005D03D9">
      <w:pPr>
        <w:rPr>
          <w:color w:val="000000" w:themeColor="text1"/>
        </w:rPr>
      </w:pPr>
      <w:r>
        <w:rPr>
          <w:color w:val="000000" w:themeColor="text1"/>
        </w:rPr>
        <w:t>This measure will improve the future sustainability of our welfare system and provides savings of $671.7 million over five years from 2020-21 to 2024-25.</w:t>
      </w:r>
    </w:p>
    <w:p w14:paraId="5DEEE4FF" w14:textId="77777777" w:rsidR="00733A83" w:rsidRPr="00733A83" w:rsidRDefault="00733A83" w:rsidP="00733A83">
      <w:pPr>
        <w:rPr>
          <w:color w:val="000000" w:themeColor="text1"/>
        </w:rPr>
      </w:pPr>
    </w:p>
    <w:p w14:paraId="30D4018D" w14:textId="77777777" w:rsidR="00E56016" w:rsidRDefault="00E56016" w:rsidP="00E56016">
      <w:pPr>
        <w:pStyle w:val="Heading1"/>
        <w:ind w:left="-5"/>
      </w:pPr>
      <w:r>
        <w:t xml:space="preserve">More information </w:t>
      </w:r>
    </w:p>
    <w:p w14:paraId="504C3BD0" w14:textId="77777777" w:rsidR="00E56016" w:rsidRDefault="00E56016" w:rsidP="00E56016">
      <w:pPr>
        <w:spacing w:after="171"/>
        <w:ind w:left="-5" w:right="14"/>
      </w:pPr>
      <w:r>
        <w:t xml:space="preserve">For more information about this measure and other Department of Social Services’ Budget measures, visit the </w:t>
      </w:r>
      <w:hyperlink r:id="rId15" w:history="1">
        <w:r>
          <w:rPr>
            <w:rStyle w:val="Hyperlink"/>
          </w:rPr>
          <w:t>Department of</w:t>
        </w:r>
      </w:hyperlink>
      <w:hyperlink r:id="rId16" w:history="1">
        <w:r>
          <w:rPr>
            <w:rStyle w:val="Hyperlink"/>
          </w:rPr>
          <w:t xml:space="preserve"> </w:t>
        </w:r>
      </w:hyperlink>
      <w:hyperlink r:id="rId17" w:history="1">
        <w:r>
          <w:rPr>
            <w:rStyle w:val="Hyperlink"/>
          </w:rPr>
          <w:t>Social Services</w:t>
        </w:r>
      </w:hyperlink>
      <w:hyperlink r:id="rId18" w:history="1">
        <w:r>
          <w:rPr>
            <w:rStyle w:val="Hyperlink"/>
          </w:rPr>
          <w:t xml:space="preserve"> </w:t>
        </w:r>
      </w:hyperlink>
      <w:r>
        <w:t>website (</w:t>
      </w:r>
      <w:hyperlink r:id="rId19" w:history="1">
        <w:r>
          <w:rPr>
            <w:rStyle w:val="Hyperlink"/>
          </w:rPr>
          <w:t>dss.gov.au</w:t>
        </w:r>
      </w:hyperlink>
      <w:hyperlink r:id="rId20" w:history="1">
        <w:r>
          <w:rPr>
            <w:rStyle w:val="Hyperlink"/>
          </w:rPr>
          <w:t>)</w:t>
        </w:r>
      </w:hyperlink>
      <w:r>
        <w:t xml:space="preserve">.  </w:t>
      </w:r>
    </w:p>
    <w:p w14:paraId="179F803E" w14:textId="77777777" w:rsidR="00E56016" w:rsidRDefault="00E56016" w:rsidP="00E56016">
      <w:pPr>
        <w:spacing w:after="0" w:line="242" w:lineRule="auto"/>
        <w:ind w:left="0" w:right="25" w:firstLine="0"/>
        <w:jc w:val="both"/>
        <w:rPr>
          <w:color w:val="0000FF"/>
          <w:u w:val="single" w:color="0000FF"/>
        </w:rPr>
      </w:pPr>
      <w:r>
        <w:t xml:space="preserve">For information about the Budget 2021-22, visit the </w:t>
      </w:r>
      <w:hyperlink r:id="rId21" w:history="1">
        <w:r>
          <w:rPr>
            <w:rStyle w:val="Hyperlink"/>
          </w:rPr>
          <w:t>Australian Government budget</w:t>
        </w:r>
      </w:hyperlink>
      <w:hyperlink r:id="rId22" w:history="1">
        <w:r>
          <w:rPr>
            <w:rStyle w:val="Hyperlink"/>
          </w:rPr>
          <w:t xml:space="preserve"> </w:t>
        </w:r>
      </w:hyperlink>
      <w:r>
        <w:t xml:space="preserve">website </w:t>
      </w:r>
      <w:hyperlink r:id="rId23" w:history="1">
        <w:r>
          <w:rPr>
            <w:rStyle w:val="Hyperlink"/>
          </w:rPr>
          <w:t>(</w:t>
        </w:r>
      </w:hyperlink>
      <w:r>
        <w:rPr>
          <w:color w:val="0000FF"/>
          <w:u w:val="single" w:color="0000FF"/>
        </w:rPr>
        <w:t xml:space="preserve">budget.gov.au). </w:t>
      </w:r>
    </w:p>
    <w:p w14:paraId="5D0790A8" w14:textId="77777777" w:rsidR="00E56016" w:rsidRDefault="00E56016" w:rsidP="00E56016">
      <w:pPr>
        <w:spacing w:after="0" w:line="242" w:lineRule="auto"/>
        <w:ind w:left="0" w:firstLine="0"/>
        <w:rPr>
          <w:color w:val="0000FF"/>
          <w:u w:val="single" w:color="0000FF"/>
        </w:rPr>
        <w:sectPr w:rsidR="00E56016">
          <w:type w:val="continuous"/>
          <w:pgSz w:w="11906" w:h="16838"/>
          <w:pgMar w:top="1002" w:right="888" w:bottom="1162" w:left="852" w:header="720" w:footer="720" w:gutter="0"/>
          <w:cols w:num="2" w:space="700"/>
        </w:sectPr>
      </w:pPr>
    </w:p>
    <w:p w14:paraId="06455779" w14:textId="77777777" w:rsidR="00E56016" w:rsidRDefault="00E56016" w:rsidP="00E56016">
      <w:pPr>
        <w:spacing w:after="0" w:line="242" w:lineRule="auto"/>
        <w:ind w:left="0" w:firstLine="0"/>
        <w:sectPr w:rsidR="00E56016">
          <w:type w:val="continuous"/>
          <w:pgSz w:w="11906" w:h="16838"/>
          <w:pgMar w:top="1002" w:right="888" w:bottom="1162" w:left="852" w:header="720" w:footer="720" w:gutter="0"/>
          <w:cols w:space="720"/>
        </w:sectPr>
      </w:pPr>
    </w:p>
    <w:p w14:paraId="2D3979A7" w14:textId="77777777" w:rsidR="00E56016" w:rsidRDefault="00E56016" w:rsidP="00E56016">
      <w:pPr>
        <w:spacing w:after="0" w:line="242" w:lineRule="auto"/>
        <w:ind w:left="0" w:right="25" w:firstLine="0"/>
        <w:jc w:val="both"/>
      </w:pPr>
    </w:p>
    <w:p w14:paraId="10FCB418" w14:textId="77777777" w:rsidR="00B60408" w:rsidRPr="00E56016" w:rsidRDefault="00B60408" w:rsidP="00E56016"/>
    <w:sectPr w:rsidR="00B60408" w:rsidRPr="00E56016" w:rsidSect="00C7296B">
      <w:type w:val="continuous"/>
      <w:pgSz w:w="11906" w:h="16838"/>
      <w:pgMar w:top="1002" w:right="888" w:bottom="1162" w:left="852" w:header="720" w:footer="720" w:gutter="0"/>
      <w:cols w:space="7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42134" w14:textId="77777777" w:rsidR="004A1FF3" w:rsidRDefault="004A1FF3" w:rsidP="004A1FF3">
      <w:pPr>
        <w:spacing w:after="0" w:line="240" w:lineRule="auto"/>
      </w:pPr>
      <w:r>
        <w:separator/>
      </w:r>
    </w:p>
  </w:endnote>
  <w:endnote w:type="continuationSeparator" w:id="0">
    <w:p w14:paraId="76644E1B" w14:textId="77777777" w:rsidR="004A1FF3" w:rsidRDefault="004A1FF3" w:rsidP="004A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2B42" w14:textId="77777777" w:rsidR="004A1FF3" w:rsidRDefault="004A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4741" w14:textId="77777777" w:rsidR="004A1FF3" w:rsidRDefault="004A1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9177" w14:textId="77777777" w:rsidR="004A1FF3" w:rsidRDefault="004A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3FD7" w14:textId="77777777" w:rsidR="004A1FF3" w:rsidRDefault="004A1FF3" w:rsidP="004A1FF3">
      <w:pPr>
        <w:spacing w:after="0" w:line="240" w:lineRule="auto"/>
      </w:pPr>
      <w:r>
        <w:separator/>
      </w:r>
    </w:p>
  </w:footnote>
  <w:footnote w:type="continuationSeparator" w:id="0">
    <w:p w14:paraId="29161FB8" w14:textId="77777777" w:rsidR="004A1FF3" w:rsidRDefault="004A1FF3" w:rsidP="004A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7E86" w14:textId="77777777" w:rsidR="004A1FF3" w:rsidRDefault="004A1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4D8C" w14:textId="77777777" w:rsidR="004A1FF3" w:rsidRDefault="004A1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2F20" w14:textId="77777777" w:rsidR="004A1FF3" w:rsidRDefault="004A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2B5"/>
    <w:multiLevelType w:val="hybridMultilevel"/>
    <w:tmpl w:val="D228085A"/>
    <w:lvl w:ilvl="0" w:tplc="D00C0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29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E7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0B7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A38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E3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62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C7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A77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E25D0"/>
    <w:multiLevelType w:val="hybridMultilevel"/>
    <w:tmpl w:val="C1465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D475F"/>
    <w:multiLevelType w:val="hybridMultilevel"/>
    <w:tmpl w:val="7D5EEE8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 w15:restartNumberingAfterBreak="0">
    <w:nsid w:val="1F97176E"/>
    <w:multiLevelType w:val="hybridMultilevel"/>
    <w:tmpl w:val="1BE8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002671"/>
    <w:multiLevelType w:val="hybridMultilevel"/>
    <w:tmpl w:val="F51CB5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5" w15:restartNumberingAfterBreak="0">
    <w:nsid w:val="38380E38"/>
    <w:multiLevelType w:val="hybridMultilevel"/>
    <w:tmpl w:val="69369842"/>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6" w15:restartNumberingAfterBreak="0">
    <w:nsid w:val="38B12E09"/>
    <w:multiLevelType w:val="hybridMultilevel"/>
    <w:tmpl w:val="63729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0037FB"/>
    <w:multiLevelType w:val="hybridMultilevel"/>
    <w:tmpl w:val="C92C50DC"/>
    <w:lvl w:ilvl="0" w:tplc="7278D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052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40C5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4248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CD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EEA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6D9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E9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DACF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C82FAA"/>
    <w:multiLevelType w:val="hybridMultilevel"/>
    <w:tmpl w:val="B61CFAE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595676F7"/>
    <w:multiLevelType w:val="hybridMultilevel"/>
    <w:tmpl w:val="7656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8A15B2"/>
    <w:multiLevelType w:val="hybridMultilevel"/>
    <w:tmpl w:val="E106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6EB13C5"/>
    <w:multiLevelType w:val="hybridMultilevel"/>
    <w:tmpl w:val="5DA62D4E"/>
    <w:lvl w:ilvl="0" w:tplc="69486A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0D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63E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A6E7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413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A3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0C2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0F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2D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11"/>
  </w:num>
  <w:num w:numId="4">
    <w:abstractNumId w:val="10"/>
  </w:num>
  <w:num w:numId="5">
    <w:abstractNumId w:val="1"/>
  </w:num>
  <w:num w:numId="6">
    <w:abstractNumId w:val="4"/>
  </w:num>
  <w:num w:numId="7">
    <w:abstractNumId w:val="2"/>
  </w:num>
  <w:num w:numId="8">
    <w:abstractNumId w:val="5"/>
  </w:num>
  <w:num w:numId="9">
    <w:abstractNumId w:val="8"/>
  </w:num>
  <w:num w:numId="10">
    <w:abstractNumId w:val="3"/>
  </w:num>
  <w:num w:numId="11">
    <w:abstractNumId w:val="9"/>
  </w:num>
  <w:num w:numId="12">
    <w:abstractNumId w:val="6"/>
  </w:num>
  <w:num w:numId="13">
    <w:abstractNumId w:val="5"/>
  </w:num>
  <w:num w:numId="14">
    <w:abstractNumId w:val="1"/>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EB"/>
    <w:rsid w:val="00056F37"/>
    <w:rsid w:val="000606D5"/>
    <w:rsid w:val="000C189E"/>
    <w:rsid w:val="00146667"/>
    <w:rsid w:val="001A7D9C"/>
    <w:rsid w:val="00213183"/>
    <w:rsid w:val="00270599"/>
    <w:rsid w:val="003C0BE5"/>
    <w:rsid w:val="003D3027"/>
    <w:rsid w:val="004A1FF3"/>
    <w:rsid w:val="004F08CC"/>
    <w:rsid w:val="0050566F"/>
    <w:rsid w:val="005D03D9"/>
    <w:rsid w:val="00655192"/>
    <w:rsid w:val="006645B8"/>
    <w:rsid w:val="006A1645"/>
    <w:rsid w:val="006A3492"/>
    <w:rsid w:val="006E254F"/>
    <w:rsid w:val="00733A83"/>
    <w:rsid w:val="00826A14"/>
    <w:rsid w:val="00834EEE"/>
    <w:rsid w:val="008B7DEB"/>
    <w:rsid w:val="008D4D22"/>
    <w:rsid w:val="008D7A0A"/>
    <w:rsid w:val="009071F5"/>
    <w:rsid w:val="00935FAD"/>
    <w:rsid w:val="00945E28"/>
    <w:rsid w:val="009651B9"/>
    <w:rsid w:val="009F7FE4"/>
    <w:rsid w:val="00AB42F3"/>
    <w:rsid w:val="00AE7BF9"/>
    <w:rsid w:val="00B60408"/>
    <w:rsid w:val="00BD2BA1"/>
    <w:rsid w:val="00C00F5F"/>
    <w:rsid w:val="00C662EF"/>
    <w:rsid w:val="00C7296B"/>
    <w:rsid w:val="00CB402D"/>
    <w:rsid w:val="00D36E8A"/>
    <w:rsid w:val="00D9110E"/>
    <w:rsid w:val="00DA5833"/>
    <w:rsid w:val="00DA7160"/>
    <w:rsid w:val="00DB3525"/>
    <w:rsid w:val="00DB5D94"/>
    <w:rsid w:val="00DB7279"/>
    <w:rsid w:val="00DC61C7"/>
    <w:rsid w:val="00DD2EB3"/>
    <w:rsid w:val="00E51CA4"/>
    <w:rsid w:val="00E53959"/>
    <w:rsid w:val="00E56016"/>
    <w:rsid w:val="00ED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7" w:line="249" w:lineRule="auto"/>
      <w:ind w:left="10" w:hanging="10"/>
      <w:outlineLvl w:val="0"/>
    </w:pPr>
    <w:rPr>
      <w:rFonts w:ascii="Georgia" w:eastAsia="Georgia" w:hAnsi="Georgia" w:cs="Georgia"/>
      <w:color w:val="005A7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5A70"/>
      <w:sz w:val="32"/>
    </w:rPr>
  </w:style>
  <w:style w:type="table" w:styleId="TableGrid">
    <w:name w:val="Table Grid"/>
    <w:basedOn w:val="TableNormal"/>
    <w:uiPriority w:val="59"/>
    <w:rsid w:val="002705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A14"/>
    <w:pPr>
      <w:spacing w:after="0" w:line="240" w:lineRule="auto"/>
      <w:ind w:left="720" w:firstLine="0"/>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945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E28"/>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45E28"/>
    <w:rPr>
      <w:sz w:val="16"/>
      <w:szCs w:val="16"/>
    </w:rPr>
  </w:style>
  <w:style w:type="paragraph" w:styleId="CommentText">
    <w:name w:val="annotation text"/>
    <w:basedOn w:val="Normal"/>
    <w:link w:val="CommentTextChar"/>
    <w:uiPriority w:val="99"/>
    <w:unhideWhenUsed/>
    <w:rsid w:val="00945E28"/>
    <w:pPr>
      <w:spacing w:line="240" w:lineRule="auto"/>
    </w:pPr>
    <w:rPr>
      <w:sz w:val="20"/>
      <w:szCs w:val="20"/>
    </w:rPr>
  </w:style>
  <w:style w:type="character" w:customStyle="1" w:styleId="CommentTextChar">
    <w:name w:val="Comment Text Char"/>
    <w:basedOn w:val="DefaultParagraphFont"/>
    <w:link w:val="CommentText"/>
    <w:uiPriority w:val="99"/>
    <w:rsid w:val="00945E2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45E28"/>
    <w:rPr>
      <w:b/>
      <w:bCs/>
    </w:rPr>
  </w:style>
  <w:style w:type="character" w:customStyle="1" w:styleId="CommentSubjectChar">
    <w:name w:val="Comment Subject Char"/>
    <w:basedOn w:val="CommentTextChar"/>
    <w:link w:val="CommentSubject"/>
    <w:uiPriority w:val="99"/>
    <w:semiHidden/>
    <w:rsid w:val="00945E28"/>
    <w:rPr>
      <w:rFonts w:ascii="Arial" w:eastAsia="Arial" w:hAnsi="Arial" w:cs="Arial"/>
      <w:b/>
      <w:bCs/>
      <w:color w:val="000000"/>
      <w:sz w:val="20"/>
      <w:szCs w:val="20"/>
    </w:rPr>
  </w:style>
  <w:style w:type="character" w:styleId="Hyperlink">
    <w:name w:val="Hyperlink"/>
    <w:basedOn w:val="DefaultParagraphFont"/>
    <w:uiPriority w:val="99"/>
    <w:semiHidden/>
    <w:unhideWhenUsed/>
    <w:rsid w:val="00E56016"/>
    <w:rPr>
      <w:color w:val="0000FF"/>
      <w:u w:val="single"/>
    </w:rPr>
  </w:style>
  <w:style w:type="paragraph" w:styleId="Header">
    <w:name w:val="header"/>
    <w:basedOn w:val="Normal"/>
    <w:link w:val="HeaderChar"/>
    <w:uiPriority w:val="99"/>
    <w:unhideWhenUsed/>
    <w:rsid w:val="004A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FF3"/>
    <w:rPr>
      <w:rFonts w:ascii="Arial" w:eastAsia="Arial" w:hAnsi="Arial" w:cs="Arial"/>
      <w:color w:val="000000"/>
      <w:sz w:val="24"/>
    </w:rPr>
  </w:style>
  <w:style w:type="paragraph" w:styleId="Footer">
    <w:name w:val="footer"/>
    <w:basedOn w:val="Normal"/>
    <w:link w:val="FooterChar"/>
    <w:uiPriority w:val="99"/>
    <w:unhideWhenUsed/>
    <w:rsid w:val="004A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FF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3355">
      <w:bodyDiv w:val="1"/>
      <w:marLeft w:val="0"/>
      <w:marRight w:val="0"/>
      <w:marTop w:val="0"/>
      <w:marBottom w:val="0"/>
      <w:divBdr>
        <w:top w:val="none" w:sz="0" w:space="0" w:color="auto"/>
        <w:left w:val="none" w:sz="0" w:space="0" w:color="auto"/>
        <w:bottom w:val="none" w:sz="0" w:space="0" w:color="auto"/>
        <w:right w:val="none" w:sz="0" w:space="0" w:color="auto"/>
      </w:divBdr>
    </w:div>
    <w:div w:id="864054079">
      <w:bodyDiv w:val="1"/>
      <w:marLeft w:val="0"/>
      <w:marRight w:val="0"/>
      <w:marTop w:val="0"/>
      <w:marBottom w:val="0"/>
      <w:divBdr>
        <w:top w:val="none" w:sz="0" w:space="0" w:color="auto"/>
        <w:left w:val="none" w:sz="0" w:space="0" w:color="auto"/>
        <w:bottom w:val="none" w:sz="0" w:space="0" w:color="auto"/>
        <w:right w:val="none" w:sz="0" w:space="0" w:color="auto"/>
      </w:divBdr>
    </w:div>
    <w:div w:id="877203728">
      <w:bodyDiv w:val="1"/>
      <w:marLeft w:val="0"/>
      <w:marRight w:val="0"/>
      <w:marTop w:val="0"/>
      <w:marBottom w:val="0"/>
      <w:divBdr>
        <w:top w:val="none" w:sz="0" w:space="0" w:color="auto"/>
        <w:left w:val="none" w:sz="0" w:space="0" w:color="auto"/>
        <w:bottom w:val="none" w:sz="0" w:space="0" w:color="auto"/>
        <w:right w:val="none" w:sz="0" w:space="0" w:color="auto"/>
      </w:divBdr>
    </w:div>
    <w:div w:id="1847134223">
      <w:bodyDiv w:val="1"/>
      <w:marLeft w:val="0"/>
      <w:marRight w:val="0"/>
      <w:marTop w:val="0"/>
      <w:marBottom w:val="0"/>
      <w:divBdr>
        <w:top w:val="none" w:sz="0" w:space="0" w:color="auto"/>
        <w:left w:val="none" w:sz="0" w:space="0" w:color="auto"/>
        <w:bottom w:val="none" w:sz="0" w:space="0" w:color="auto"/>
        <w:right w:val="none" w:sz="0" w:space="0" w:color="auto"/>
      </w:divBdr>
    </w:div>
    <w:div w:id="1879396152">
      <w:bodyDiv w:val="1"/>
      <w:marLeft w:val="0"/>
      <w:marRight w:val="0"/>
      <w:marTop w:val="0"/>
      <w:marBottom w:val="0"/>
      <w:divBdr>
        <w:top w:val="none" w:sz="0" w:space="0" w:color="auto"/>
        <w:left w:val="none" w:sz="0" w:space="0" w:color="auto"/>
        <w:bottom w:val="none" w:sz="0" w:space="0" w:color="auto"/>
        <w:right w:val="none" w:sz="0" w:space="0" w:color="auto"/>
      </w:divBdr>
    </w:div>
    <w:div w:id="20284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budget.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s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www.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hyperlink" Target="http://www.budget.gov.au/" TargetMode="External"/><Relationship Id="rId10" Type="http://schemas.openxmlformats.org/officeDocument/2006/relationships/footer" Target="footer1.xml"/><Relationship Id="rId19" Type="http://schemas.openxmlformats.org/officeDocument/2006/relationships/hyperlink" Target="http://www.dss.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www.budge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7957-5421-4BBD-943B-205188D1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2021-05-12T03:00:00Z</dcterms:created>
  <dcterms:modified xsi:type="dcterms:W3CDTF">2021-05-12T03:01:00Z</dcterms:modified>
</cp:coreProperties>
</file>