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7D7F" w14:textId="5FBE2F68" w:rsidR="00720AD3" w:rsidRDefault="00720AD3" w:rsidP="00720AD3">
      <w:pPr>
        <w:pStyle w:val="Heading1"/>
      </w:pPr>
      <w:r>
        <w:t>Enhanced Income Management and the SmartCard</w:t>
      </w:r>
    </w:p>
    <w:p w14:paraId="12891D3A" w14:textId="6AED993C" w:rsidR="00720AD3" w:rsidRDefault="00720AD3" w:rsidP="00D46546">
      <w:pPr>
        <w:pStyle w:val="BodyText"/>
      </w:pPr>
      <w:r>
        <w:t>Enhanced Income Management and the SmartCard is</w:t>
      </w:r>
      <w:r>
        <w:rPr>
          <w:rStyle w:val="nobreak"/>
        </w:rPr>
        <w:t xml:space="preserve"> </w:t>
      </w:r>
      <w:r>
        <w:t>now</w:t>
      </w:r>
      <w:r>
        <w:rPr>
          <w:rStyle w:val="nobreak"/>
        </w:rPr>
        <w:t xml:space="preserve"> </w:t>
      </w:r>
      <w:r w:rsidRPr="00D46546">
        <w:t>available</w:t>
      </w:r>
      <w:r>
        <w:t>.</w:t>
      </w:r>
    </w:p>
    <w:p w14:paraId="3132ED19" w14:textId="77777777" w:rsidR="00720AD3" w:rsidRDefault="00720AD3" w:rsidP="00720AD3">
      <w:pPr>
        <w:pStyle w:val="BodyText"/>
        <w:ind w:right="283"/>
      </w:pPr>
      <w:r>
        <w:t>If you are on Income Management, you can choose to move to enhanced Income Management. You will get an enhanced Income Management account with a SmartCard.</w:t>
      </w:r>
    </w:p>
    <w:p w14:paraId="09BEA650" w14:textId="77777777" w:rsidR="00720AD3" w:rsidRDefault="00720AD3" w:rsidP="00720AD3">
      <w:pPr>
        <w:pStyle w:val="BodyText"/>
        <w:ind w:right="283"/>
      </w:pPr>
      <w:r>
        <w:t>The amount of money you get will not change if</w:t>
      </w:r>
      <w:r>
        <w:rPr>
          <w:rStyle w:val="nobreak"/>
        </w:rPr>
        <w:t xml:space="preserve"> </w:t>
      </w:r>
      <w:r>
        <w:t>you</w:t>
      </w:r>
      <w:r>
        <w:rPr>
          <w:rStyle w:val="nobreak"/>
        </w:rPr>
        <w:t xml:space="preserve"> </w:t>
      </w:r>
      <w:r>
        <w:t xml:space="preserve">move to enhanced Income Management. </w:t>
      </w:r>
    </w:p>
    <w:p w14:paraId="71FEF073" w14:textId="77777777" w:rsidR="00720AD3" w:rsidRDefault="00720AD3" w:rsidP="00720AD3">
      <w:pPr>
        <w:pStyle w:val="BodyText"/>
        <w:ind w:right="283"/>
      </w:pPr>
      <w:r>
        <w:t>Services Australia can help you with your enhanced Income Management account and SmartCard.</w:t>
      </w:r>
    </w:p>
    <w:p w14:paraId="5C5B5E1E" w14:textId="77777777" w:rsidR="00720AD3" w:rsidRDefault="00720AD3" w:rsidP="00720AD3">
      <w:pPr>
        <w:pStyle w:val="BodyText"/>
        <w:spacing w:after="227"/>
        <w:ind w:right="283"/>
      </w:pPr>
      <w:r>
        <w:t>If you live in the Northern Territory, you can choose to have your enhanced Income Management account and SmartCard managed through Services Australia or the Traditional Credit Union (TCU).</w:t>
      </w:r>
    </w:p>
    <w:p w14:paraId="7AB86E5F" w14:textId="2031DF0A" w:rsidR="00720AD3" w:rsidRPr="00D46546" w:rsidRDefault="00720AD3" w:rsidP="00720AD3">
      <w:pPr>
        <w:pStyle w:val="BodyText"/>
        <w:rPr>
          <w:sz w:val="16"/>
          <w:szCs w:val="16"/>
        </w:rPr>
      </w:pPr>
      <w:r>
        <w:t>If you choose to move to enhanced Income Management, you won’t be able to move back to</w:t>
      </w:r>
      <w:r>
        <w:rPr>
          <w:rStyle w:val="nobreak"/>
        </w:rPr>
        <w:t xml:space="preserve"> </w:t>
      </w:r>
      <w:r>
        <w:t>Income</w:t>
      </w:r>
      <w:r>
        <w:rPr>
          <w:rStyle w:val="nobreak"/>
        </w:rPr>
        <w:t xml:space="preserve"> </w:t>
      </w:r>
      <w:r>
        <w:t>Management.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D46546" w:rsidRPr="004067D0" w14:paraId="7451D85D" w14:textId="77777777" w:rsidTr="00B35A9B">
        <w:trPr>
          <w:tblHeader/>
        </w:trPr>
        <w:tc>
          <w:tcPr>
            <w:tcW w:w="3515" w:type="dxa"/>
          </w:tcPr>
          <w:p w14:paraId="106F2827" w14:textId="77777777" w:rsidR="00720AD3" w:rsidRPr="004067D0" w:rsidRDefault="00720AD3" w:rsidP="004067D0">
            <w:pPr>
              <w:pStyle w:val="Heading2"/>
            </w:pPr>
            <w:r w:rsidRPr="004067D0">
              <w:rPr>
                <w:rStyle w:val="Bold"/>
                <w:rFonts w:asciiTheme="minorHAnsi" w:hAnsiTheme="minorHAnsi" w:cs="Arial"/>
                <w:b/>
                <w:bCs/>
              </w:rPr>
              <w:t>Card and account functions</w:t>
            </w:r>
          </w:p>
        </w:tc>
        <w:tc>
          <w:tcPr>
            <w:tcW w:w="3515" w:type="dxa"/>
          </w:tcPr>
          <w:p w14:paraId="13641A8A" w14:textId="77777777" w:rsidR="00720AD3" w:rsidRPr="004067D0" w:rsidRDefault="00720AD3" w:rsidP="004067D0">
            <w:pPr>
              <w:pStyle w:val="Heading2"/>
            </w:pPr>
            <w:r w:rsidRPr="004067D0">
              <w:rPr>
                <w:rStyle w:val="Bold"/>
                <w:rFonts w:asciiTheme="minorHAnsi" w:hAnsiTheme="minorHAnsi" w:cs="Arial"/>
                <w:b/>
                <w:bCs/>
              </w:rPr>
              <w:t>SmartCard</w:t>
            </w:r>
          </w:p>
        </w:tc>
        <w:tc>
          <w:tcPr>
            <w:tcW w:w="3515" w:type="dxa"/>
          </w:tcPr>
          <w:p w14:paraId="025AE6B8" w14:textId="77777777" w:rsidR="00720AD3" w:rsidRPr="004067D0" w:rsidRDefault="00720AD3" w:rsidP="004067D0">
            <w:pPr>
              <w:pStyle w:val="Heading2"/>
            </w:pPr>
            <w:r w:rsidRPr="004067D0">
              <w:rPr>
                <w:rStyle w:val="Bold"/>
                <w:rFonts w:asciiTheme="minorHAnsi" w:hAnsiTheme="minorHAnsi" w:cs="Arial"/>
                <w:b/>
                <w:bCs/>
              </w:rPr>
              <w:t>BasicsCard</w:t>
            </w:r>
          </w:p>
        </w:tc>
      </w:tr>
      <w:tr w:rsidR="00D46546" w:rsidRPr="00D46546" w14:paraId="79748EE5" w14:textId="77777777" w:rsidTr="00D46546">
        <w:tc>
          <w:tcPr>
            <w:tcW w:w="3515" w:type="dxa"/>
          </w:tcPr>
          <w:p w14:paraId="02E6587C" w14:textId="77777777" w:rsidR="00720AD3" w:rsidRPr="00D46546" w:rsidRDefault="00720AD3" w:rsidP="00D46546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Temporary or replacement cards</w:t>
            </w:r>
          </w:p>
        </w:tc>
        <w:tc>
          <w:tcPr>
            <w:tcW w:w="3515" w:type="dxa"/>
          </w:tcPr>
          <w:p w14:paraId="59DD386E" w14:textId="3A86A566" w:rsidR="00720AD3" w:rsidRPr="00093F81" w:rsidRDefault="00093F81" w:rsidP="00093F81">
            <w:pPr>
              <w:pStyle w:val="BodyText"/>
              <w:jc w:val="center"/>
            </w:pPr>
            <w:r w:rsidRPr="00093F81">
              <w:t>Yes</w:t>
            </w:r>
          </w:p>
        </w:tc>
        <w:tc>
          <w:tcPr>
            <w:tcW w:w="3515" w:type="dxa"/>
          </w:tcPr>
          <w:p w14:paraId="16CAB453" w14:textId="46852AAE" w:rsidR="00720AD3" w:rsidRPr="00D46546" w:rsidRDefault="00093F81" w:rsidP="00D46546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="00720AD3" w:rsidRPr="00D46546">
              <w:rPr>
                <w:rFonts w:ascii="Arial" w:hAnsi="Arial" w:cs="Arial"/>
              </w:rPr>
              <w:br/>
              <w:t xml:space="preserve">replacement BasicsCards can be </w:t>
            </w:r>
            <w:r w:rsidR="00720AD3" w:rsidRPr="00D46546">
              <w:rPr>
                <w:rFonts w:ascii="Arial" w:hAnsi="Arial" w:cs="Arial"/>
              </w:rPr>
              <w:br/>
              <w:t>collected from a service centre</w:t>
            </w:r>
          </w:p>
        </w:tc>
      </w:tr>
      <w:tr w:rsidR="00093F81" w:rsidRPr="00D46546" w14:paraId="78E0D4D2" w14:textId="77777777" w:rsidTr="00D46546">
        <w:tc>
          <w:tcPr>
            <w:tcW w:w="3515" w:type="dxa"/>
          </w:tcPr>
          <w:p w14:paraId="079AD09F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Free balance checks at selected ATMs</w:t>
            </w:r>
          </w:p>
        </w:tc>
        <w:tc>
          <w:tcPr>
            <w:tcW w:w="3515" w:type="dxa"/>
          </w:tcPr>
          <w:p w14:paraId="594206C1" w14:textId="364B170B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</w:p>
        </w:tc>
        <w:tc>
          <w:tcPr>
            <w:tcW w:w="3515" w:type="dxa"/>
          </w:tcPr>
          <w:p w14:paraId="5509ED48" w14:textId="59CB636C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Pr="00D46546">
              <w:rPr>
                <w:rFonts w:ascii="Arial" w:hAnsi="Arial" w:cs="Arial"/>
              </w:rPr>
              <w:br/>
              <w:t>small selection of participating ATMs</w:t>
            </w:r>
          </w:p>
        </w:tc>
      </w:tr>
      <w:tr w:rsidR="00093F81" w:rsidRPr="00D46546" w14:paraId="7F04BB38" w14:textId="77777777" w:rsidTr="00D46546">
        <w:tc>
          <w:tcPr>
            <w:tcW w:w="3515" w:type="dxa"/>
          </w:tcPr>
          <w:p w14:paraId="64516B2E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Online banking</w:t>
            </w:r>
          </w:p>
        </w:tc>
        <w:tc>
          <w:tcPr>
            <w:tcW w:w="3515" w:type="dxa"/>
          </w:tcPr>
          <w:p w14:paraId="2289BD52" w14:textId="50AE103E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</w:p>
        </w:tc>
        <w:tc>
          <w:tcPr>
            <w:tcW w:w="3515" w:type="dxa"/>
          </w:tcPr>
          <w:p w14:paraId="1930C510" w14:textId="596B888F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>
              <w:t>No</w:t>
            </w:r>
          </w:p>
        </w:tc>
      </w:tr>
      <w:tr w:rsidR="00093F81" w:rsidRPr="00D46546" w14:paraId="6BE81C60" w14:textId="77777777" w:rsidTr="00D46546">
        <w:tc>
          <w:tcPr>
            <w:tcW w:w="3515" w:type="dxa"/>
          </w:tcPr>
          <w:p w14:paraId="738F4D53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Mobile app</w:t>
            </w:r>
          </w:p>
        </w:tc>
        <w:tc>
          <w:tcPr>
            <w:tcW w:w="3515" w:type="dxa"/>
          </w:tcPr>
          <w:p w14:paraId="5B965E44" w14:textId="0437F9A3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</w:p>
        </w:tc>
        <w:tc>
          <w:tcPr>
            <w:tcW w:w="3515" w:type="dxa"/>
          </w:tcPr>
          <w:p w14:paraId="32AB2CF2" w14:textId="068CB78A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DE70F3">
              <w:t>No</w:t>
            </w:r>
          </w:p>
        </w:tc>
      </w:tr>
      <w:tr w:rsidR="00093F81" w:rsidRPr="00D46546" w14:paraId="2211D812" w14:textId="77777777" w:rsidTr="00D46546">
        <w:tc>
          <w:tcPr>
            <w:tcW w:w="3515" w:type="dxa"/>
          </w:tcPr>
          <w:p w14:paraId="42956E42" w14:textId="083F164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Online shopping except on eBay, PayPal</w:t>
            </w:r>
            <w:r w:rsidRPr="00D46546">
              <w:rPr>
                <w:rStyle w:val="nobreak"/>
                <w:rFonts w:ascii="Arial" w:hAnsi="Arial" w:cs="Arial"/>
              </w:rPr>
              <w:t xml:space="preserve"> </w:t>
            </w:r>
            <w:r w:rsidRPr="00D46546">
              <w:rPr>
                <w:rFonts w:ascii="Arial" w:hAnsi="Arial" w:cs="Arial"/>
              </w:rPr>
              <w:t>or shops that sell excluded goods and services</w:t>
            </w:r>
          </w:p>
        </w:tc>
        <w:tc>
          <w:tcPr>
            <w:tcW w:w="3515" w:type="dxa"/>
          </w:tcPr>
          <w:p w14:paraId="79B3BCA7" w14:textId="62B5C9C8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</w:p>
        </w:tc>
        <w:tc>
          <w:tcPr>
            <w:tcW w:w="3515" w:type="dxa"/>
          </w:tcPr>
          <w:p w14:paraId="7F595B55" w14:textId="7B217FC3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DE70F3">
              <w:t>No</w:t>
            </w:r>
          </w:p>
        </w:tc>
      </w:tr>
      <w:tr w:rsidR="00093F81" w:rsidRPr="00D46546" w14:paraId="46EB4A16" w14:textId="77777777" w:rsidTr="00D46546">
        <w:tc>
          <w:tcPr>
            <w:tcW w:w="3515" w:type="dxa"/>
          </w:tcPr>
          <w:p w14:paraId="219AFEB0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Can be used on most EFTPOS terminals Australia-wide</w:t>
            </w:r>
          </w:p>
        </w:tc>
        <w:tc>
          <w:tcPr>
            <w:tcW w:w="3515" w:type="dxa"/>
          </w:tcPr>
          <w:p w14:paraId="522958BD" w14:textId="0774B5B4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</w:p>
        </w:tc>
        <w:tc>
          <w:tcPr>
            <w:tcW w:w="3515" w:type="dxa"/>
          </w:tcPr>
          <w:p w14:paraId="173E2A59" w14:textId="67E4F890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DE70F3">
              <w:t>No</w:t>
            </w:r>
          </w:p>
        </w:tc>
      </w:tr>
      <w:tr w:rsidR="00093F81" w:rsidRPr="00D46546" w14:paraId="62DA2248" w14:textId="77777777" w:rsidTr="00D46546">
        <w:tc>
          <w:tcPr>
            <w:tcW w:w="3515" w:type="dxa"/>
          </w:tcPr>
          <w:p w14:paraId="4B85F8D8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 xml:space="preserve">Transfer money to another enhanced Income Management account </w:t>
            </w:r>
          </w:p>
        </w:tc>
        <w:tc>
          <w:tcPr>
            <w:tcW w:w="3515" w:type="dxa"/>
          </w:tcPr>
          <w:p w14:paraId="6DA861EA" w14:textId="5C122E66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Pr="00D46546">
              <w:rPr>
                <w:rFonts w:ascii="Arial" w:hAnsi="Arial" w:cs="Arial"/>
              </w:rPr>
              <w:br/>
              <w:t>through your enhanced Income Management account</w:t>
            </w:r>
          </w:p>
        </w:tc>
        <w:tc>
          <w:tcPr>
            <w:tcW w:w="3515" w:type="dxa"/>
          </w:tcPr>
          <w:p w14:paraId="6FC139FA" w14:textId="3E8FB53D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DE70F3">
              <w:t>No</w:t>
            </w:r>
          </w:p>
        </w:tc>
      </w:tr>
      <w:tr w:rsidR="00093F81" w:rsidRPr="00D46546" w14:paraId="55879BE7" w14:textId="77777777" w:rsidTr="00D46546">
        <w:tc>
          <w:tcPr>
            <w:tcW w:w="3515" w:type="dxa"/>
          </w:tcPr>
          <w:p w14:paraId="656204BD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Choice of card issuer</w:t>
            </w:r>
          </w:p>
        </w:tc>
        <w:tc>
          <w:tcPr>
            <w:tcW w:w="3515" w:type="dxa"/>
          </w:tcPr>
          <w:p w14:paraId="7C5CA5AA" w14:textId="6A07D27F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Pr="00D46546">
              <w:rPr>
                <w:rFonts w:ascii="Arial" w:hAnsi="Arial" w:cs="Arial"/>
              </w:rPr>
              <w:br/>
              <w:t>Northern Territory only</w:t>
            </w:r>
          </w:p>
        </w:tc>
        <w:tc>
          <w:tcPr>
            <w:tcW w:w="3515" w:type="dxa"/>
          </w:tcPr>
          <w:p w14:paraId="094C7741" w14:textId="7648AAC9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DE70F3">
              <w:t>No</w:t>
            </w:r>
          </w:p>
        </w:tc>
      </w:tr>
      <w:tr w:rsidR="00093F81" w:rsidRPr="00D46546" w14:paraId="28FF56C6" w14:textId="77777777" w:rsidTr="00D46546">
        <w:tc>
          <w:tcPr>
            <w:tcW w:w="3515" w:type="dxa"/>
          </w:tcPr>
          <w:p w14:paraId="4E74DBF6" w14:textId="5F36B5C4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Tap to pay</w:t>
            </w:r>
          </w:p>
        </w:tc>
        <w:tc>
          <w:tcPr>
            <w:tcW w:w="3515" w:type="dxa"/>
          </w:tcPr>
          <w:p w14:paraId="74274D8C" w14:textId="6E538AF5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Pr="00D46546">
              <w:rPr>
                <w:rFonts w:ascii="Arial" w:hAnsi="Arial" w:cs="Arial"/>
              </w:rPr>
              <w:br/>
              <w:t>if you enable tap to pay</w:t>
            </w:r>
          </w:p>
        </w:tc>
        <w:tc>
          <w:tcPr>
            <w:tcW w:w="3515" w:type="dxa"/>
          </w:tcPr>
          <w:p w14:paraId="22D6E441" w14:textId="37376414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DE70F3">
              <w:t>No</w:t>
            </w:r>
          </w:p>
        </w:tc>
      </w:tr>
      <w:tr w:rsidR="00093F81" w:rsidRPr="00D46546" w14:paraId="402E828F" w14:textId="77777777" w:rsidTr="00D46546">
        <w:tc>
          <w:tcPr>
            <w:tcW w:w="3515" w:type="dxa"/>
          </w:tcPr>
          <w:p w14:paraId="66B0B681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lastRenderedPageBreak/>
              <w:t>Use your card overseas</w:t>
            </w:r>
          </w:p>
        </w:tc>
        <w:tc>
          <w:tcPr>
            <w:tcW w:w="3515" w:type="dxa"/>
          </w:tcPr>
          <w:p w14:paraId="24566522" w14:textId="6D10ED6F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</w:p>
        </w:tc>
        <w:tc>
          <w:tcPr>
            <w:tcW w:w="3515" w:type="dxa"/>
          </w:tcPr>
          <w:p w14:paraId="21727CE8" w14:textId="15649640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B94C01">
              <w:t>No</w:t>
            </w:r>
          </w:p>
        </w:tc>
      </w:tr>
      <w:tr w:rsidR="00093F81" w:rsidRPr="00D46546" w14:paraId="5C83782D" w14:textId="77777777" w:rsidTr="00D46546">
        <w:tc>
          <w:tcPr>
            <w:tcW w:w="3515" w:type="dxa"/>
          </w:tcPr>
          <w:p w14:paraId="53537D37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Add your card to your digital wallet</w:t>
            </w:r>
          </w:p>
        </w:tc>
        <w:tc>
          <w:tcPr>
            <w:tcW w:w="3515" w:type="dxa"/>
          </w:tcPr>
          <w:p w14:paraId="44F79BF2" w14:textId="4FC4B021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Pr="00D46546">
              <w:rPr>
                <w:rFonts w:ascii="Arial" w:hAnsi="Arial" w:cs="Arial"/>
              </w:rPr>
              <w:br/>
              <w:t>not available to TCU customers</w:t>
            </w:r>
          </w:p>
        </w:tc>
        <w:tc>
          <w:tcPr>
            <w:tcW w:w="3515" w:type="dxa"/>
          </w:tcPr>
          <w:p w14:paraId="6A265B25" w14:textId="3C6DBCCA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B94C01">
              <w:t>No</w:t>
            </w:r>
          </w:p>
        </w:tc>
      </w:tr>
      <w:tr w:rsidR="00093F81" w:rsidRPr="00D46546" w14:paraId="511AF4AB" w14:textId="77777777" w:rsidTr="00D46546">
        <w:tc>
          <w:tcPr>
            <w:tcW w:w="3515" w:type="dxa"/>
          </w:tcPr>
          <w:p w14:paraId="3AA6391B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 xml:space="preserve">Direct debit </w:t>
            </w:r>
          </w:p>
        </w:tc>
        <w:tc>
          <w:tcPr>
            <w:tcW w:w="3515" w:type="dxa"/>
          </w:tcPr>
          <w:p w14:paraId="15E983B9" w14:textId="35628BFF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Pr="00D46546">
              <w:rPr>
                <w:rFonts w:ascii="Arial" w:hAnsi="Arial" w:cs="Arial"/>
              </w:rPr>
              <w:br/>
              <w:t>through either your SmartCard or enhanced Income Management account</w:t>
            </w:r>
          </w:p>
        </w:tc>
        <w:tc>
          <w:tcPr>
            <w:tcW w:w="3515" w:type="dxa"/>
          </w:tcPr>
          <w:p w14:paraId="3A6F0B8D" w14:textId="1C5963D8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B94C01">
              <w:t>No</w:t>
            </w:r>
          </w:p>
        </w:tc>
      </w:tr>
      <w:tr w:rsidR="00093F81" w:rsidRPr="00D46546" w14:paraId="1EBA5332" w14:textId="77777777" w:rsidTr="00D46546">
        <w:tc>
          <w:tcPr>
            <w:tcW w:w="3515" w:type="dxa"/>
          </w:tcPr>
          <w:p w14:paraId="122912CD" w14:textId="77777777" w:rsidR="00093F81" w:rsidRPr="00D46546" w:rsidRDefault="00093F81" w:rsidP="00093F81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>Using BPay® online</w:t>
            </w:r>
          </w:p>
        </w:tc>
        <w:tc>
          <w:tcPr>
            <w:tcW w:w="3515" w:type="dxa"/>
          </w:tcPr>
          <w:p w14:paraId="4CC2EB4F" w14:textId="12B76319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093F81">
              <w:t>Yes</w:t>
            </w:r>
            <w:r w:rsidRPr="00D46546">
              <w:rPr>
                <w:rFonts w:ascii="Arial" w:hAnsi="Arial" w:cs="Arial"/>
              </w:rPr>
              <w:br/>
              <w:t>through your enhanced Income Management account</w:t>
            </w:r>
          </w:p>
        </w:tc>
        <w:tc>
          <w:tcPr>
            <w:tcW w:w="3515" w:type="dxa"/>
          </w:tcPr>
          <w:p w14:paraId="6CCA0F50" w14:textId="4ADFE09E" w:rsidR="00093F81" w:rsidRPr="00D46546" w:rsidRDefault="00093F81" w:rsidP="00093F81">
            <w:pPr>
              <w:pStyle w:val="BodyText"/>
              <w:jc w:val="center"/>
              <w:rPr>
                <w:rFonts w:ascii="Arial" w:hAnsi="Arial" w:cs="Arial"/>
              </w:rPr>
            </w:pPr>
            <w:r w:rsidRPr="00B94C01">
              <w:t>No</w:t>
            </w:r>
          </w:p>
        </w:tc>
      </w:tr>
      <w:tr w:rsidR="00E616C9" w:rsidRPr="00D46546" w14:paraId="42B8A872" w14:textId="77777777" w:rsidTr="00A227A6">
        <w:tc>
          <w:tcPr>
            <w:tcW w:w="3515" w:type="dxa"/>
          </w:tcPr>
          <w:p w14:paraId="6D1664A0" w14:textId="77777777" w:rsidR="00E616C9" w:rsidRPr="00D46546" w:rsidRDefault="00E616C9" w:rsidP="00D46546">
            <w:pPr>
              <w:pStyle w:val="BodyText"/>
              <w:rPr>
                <w:rFonts w:ascii="Arial" w:hAnsi="Arial" w:cs="Arial"/>
              </w:rPr>
            </w:pPr>
            <w:r w:rsidRPr="00D46546">
              <w:rPr>
                <w:rFonts w:ascii="Arial" w:hAnsi="Arial" w:cs="Arial"/>
              </w:rPr>
              <w:t xml:space="preserve">Excluded goods and services </w:t>
            </w:r>
          </w:p>
        </w:tc>
        <w:tc>
          <w:tcPr>
            <w:tcW w:w="7030" w:type="dxa"/>
            <w:gridSpan w:val="2"/>
          </w:tcPr>
          <w:p w14:paraId="33AA1FA6" w14:textId="151EA5C0" w:rsidR="00E616C9" w:rsidRPr="00D46546" w:rsidRDefault="00E616C9" w:rsidP="00093F81">
            <w:pPr>
              <w:pStyle w:val="ListBullet"/>
            </w:pPr>
            <w:r w:rsidRPr="00D46546">
              <w:t>Alcohol</w:t>
            </w:r>
          </w:p>
          <w:p w14:paraId="208CF8BA" w14:textId="71648015" w:rsidR="00E616C9" w:rsidRPr="00D46546" w:rsidRDefault="00E616C9" w:rsidP="00093F81">
            <w:pPr>
              <w:pStyle w:val="ListBullet"/>
            </w:pPr>
            <w:r w:rsidRPr="00D46546">
              <w:t>Gambling products or services</w:t>
            </w:r>
          </w:p>
          <w:p w14:paraId="28CC3861" w14:textId="73A52B71" w:rsidR="00E616C9" w:rsidRPr="00D46546" w:rsidRDefault="00E616C9" w:rsidP="00093F81">
            <w:pPr>
              <w:pStyle w:val="ListBullet"/>
            </w:pPr>
            <w:r w:rsidRPr="00D46546">
              <w:t xml:space="preserve">Cash-like products </w:t>
            </w:r>
            <w:r w:rsidR="006E1F3D">
              <w:t xml:space="preserve">and </w:t>
            </w:r>
            <w:r w:rsidRPr="00D46546">
              <w:t>some</w:t>
            </w:r>
            <w:r w:rsidRPr="00D46546">
              <w:rPr>
                <w:rStyle w:val="nobreak"/>
                <w:rFonts w:ascii="Arial" w:hAnsi="Arial" w:cs="Arial"/>
              </w:rPr>
              <w:t xml:space="preserve"> </w:t>
            </w:r>
            <w:r w:rsidRPr="00D46546">
              <w:t>gift</w:t>
            </w:r>
            <w:r w:rsidRPr="00D46546">
              <w:rPr>
                <w:rStyle w:val="nobreak"/>
                <w:rFonts w:ascii="Arial" w:hAnsi="Arial" w:cs="Arial"/>
              </w:rPr>
              <w:t xml:space="preserve"> </w:t>
            </w:r>
            <w:r w:rsidRPr="00D46546">
              <w:t>cards</w:t>
            </w:r>
          </w:p>
          <w:p w14:paraId="74D01768" w14:textId="62E9B738" w:rsidR="00E616C9" w:rsidRPr="00D46546" w:rsidRDefault="00E616C9" w:rsidP="00093F81">
            <w:pPr>
              <w:pStyle w:val="ListBullet"/>
            </w:pPr>
            <w:r w:rsidRPr="00D46546">
              <w:t>Cash withdrawals</w:t>
            </w:r>
          </w:p>
          <w:p w14:paraId="6E1EE644" w14:textId="5D12F2C3" w:rsidR="00E616C9" w:rsidRPr="00D46546" w:rsidRDefault="00E616C9" w:rsidP="00093F81">
            <w:pPr>
              <w:pStyle w:val="ListBullet"/>
            </w:pPr>
            <w:r w:rsidRPr="00D46546">
              <w:t>Pornography</w:t>
            </w:r>
          </w:p>
          <w:p w14:paraId="3274B7B7" w14:textId="5A852444" w:rsidR="00E616C9" w:rsidRPr="00D46546" w:rsidRDefault="00E616C9" w:rsidP="00093F81">
            <w:pPr>
              <w:pStyle w:val="ListBullet"/>
            </w:pPr>
            <w:r w:rsidRPr="00D46546">
              <w:t>Tobacco and tobacco products</w:t>
            </w:r>
          </w:p>
        </w:tc>
      </w:tr>
    </w:tbl>
    <w:p w14:paraId="780FF23D" w14:textId="77777777" w:rsidR="00D46546" w:rsidRDefault="00D46546" w:rsidP="00D46546">
      <w:pPr>
        <w:pStyle w:val="Heading2"/>
      </w:pPr>
      <w:r>
        <w:t>More information and support</w:t>
      </w:r>
    </w:p>
    <w:p w14:paraId="16CCFC4F" w14:textId="77777777" w:rsidR="00D46546" w:rsidRDefault="00D46546" w:rsidP="00D46546">
      <w:pPr>
        <w:pStyle w:val="BodyText"/>
        <w:spacing w:after="57"/>
      </w:pPr>
      <w:r>
        <w:t>To find out more:</w:t>
      </w:r>
    </w:p>
    <w:p w14:paraId="4E980206" w14:textId="77777777" w:rsidR="006758BA" w:rsidRPr="006758BA" w:rsidRDefault="006758BA" w:rsidP="006758BA">
      <w:pPr>
        <w:pStyle w:val="ListBullet"/>
      </w:pPr>
      <w:r w:rsidRPr="006758BA">
        <w:t xml:space="preserve">go to </w:t>
      </w:r>
      <w:hyperlink r:id="rId7" w:history="1">
        <w:r w:rsidRPr="006758BA">
          <w:rPr>
            <w:rStyle w:val="Hyperlink"/>
            <w:color w:val="auto"/>
          </w:rPr>
          <w:t>servicesaustralia.gov.au/smartcard</w:t>
        </w:r>
      </w:hyperlink>
    </w:p>
    <w:p w14:paraId="3892712E" w14:textId="77777777" w:rsidR="006758BA" w:rsidRPr="006758BA" w:rsidRDefault="006758BA" w:rsidP="006758BA">
      <w:pPr>
        <w:pStyle w:val="ListBullet"/>
        <w:rPr>
          <w:rStyle w:val="Bold"/>
          <w:rFonts w:asciiTheme="minorHAnsi" w:hAnsiTheme="minorHAnsi" w:cstheme="minorBidi"/>
          <w:b w:val="0"/>
          <w:bCs w:val="0"/>
        </w:rPr>
      </w:pPr>
      <w:r w:rsidRPr="006758BA">
        <w:t xml:space="preserve">call the </w:t>
      </w:r>
      <w:r w:rsidRPr="006758BA">
        <w:rPr>
          <w:rStyle w:val="Bold"/>
          <w:rFonts w:asciiTheme="minorHAnsi" w:hAnsiTheme="minorHAnsi" w:cstheme="minorBidi"/>
        </w:rPr>
        <w:t>SmartCard eIM hotline</w:t>
      </w:r>
      <w:r w:rsidRPr="006758BA">
        <w:t xml:space="preserve"> on</w:t>
      </w:r>
      <w:r w:rsidRPr="006758BA">
        <w:rPr>
          <w:rStyle w:val="nobreak"/>
        </w:rPr>
        <w:t xml:space="preserve"> </w:t>
      </w:r>
      <w:r w:rsidRPr="006758BA">
        <w:rPr>
          <w:rStyle w:val="Bold"/>
          <w:rFonts w:asciiTheme="minorHAnsi" w:hAnsiTheme="minorHAnsi" w:cstheme="minorBidi"/>
        </w:rPr>
        <w:t>1800</w:t>
      </w:r>
      <w:r w:rsidRPr="006758BA">
        <w:rPr>
          <w:rStyle w:val="nobreak"/>
        </w:rPr>
        <w:t xml:space="preserve"> </w:t>
      </w:r>
      <w:r w:rsidRPr="006758BA">
        <w:rPr>
          <w:rStyle w:val="Bold"/>
          <w:rFonts w:asciiTheme="minorHAnsi" w:hAnsiTheme="minorHAnsi" w:cstheme="minorBidi"/>
        </w:rPr>
        <w:t>252</w:t>
      </w:r>
      <w:r w:rsidRPr="006758BA">
        <w:rPr>
          <w:rStyle w:val="nobreak"/>
        </w:rPr>
        <w:t xml:space="preserve"> </w:t>
      </w:r>
      <w:r w:rsidRPr="006758BA">
        <w:rPr>
          <w:rStyle w:val="Bold"/>
          <w:rFonts w:asciiTheme="minorHAnsi" w:hAnsiTheme="minorHAnsi" w:cstheme="minorBidi"/>
        </w:rPr>
        <w:t>604</w:t>
      </w:r>
    </w:p>
    <w:p w14:paraId="650CB2BF" w14:textId="77777777" w:rsidR="006758BA" w:rsidRPr="006758BA" w:rsidRDefault="006758BA" w:rsidP="006758BA">
      <w:pPr>
        <w:pStyle w:val="ListBullet"/>
      </w:pPr>
      <w:r w:rsidRPr="006758BA">
        <w:t>Let us know if you need an interpreter and</w:t>
      </w:r>
      <w:r w:rsidRPr="006758BA">
        <w:rPr>
          <w:rStyle w:val="nobreak"/>
        </w:rPr>
        <w:t xml:space="preserve"> </w:t>
      </w:r>
      <w:r w:rsidRPr="006758BA">
        <w:t>we</w:t>
      </w:r>
      <w:r w:rsidRPr="006758BA">
        <w:rPr>
          <w:rStyle w:val="nobreak"/>
        </w:rPr>
        <w:t xml:space="preserve"> </w:t>
      </w:r>
      <w:r w:rsidRPr="006758BA">
        <w:t>will</w:t>
      </w:r>
      <w:r w:rsidRPr="006758BA">
        <w:rPr>
          <w:rStyle w:val="nobreak"/>
        </w:rPr>
        <w:t xml:space="preserve"> </w:t>
      </w:r>
      <w:r w:rsidRPr="006758BA">
        <w:t>arrange one for free.</w:t>
      </w:r>
    </w:p>
    <w:p w14:paraId="33323CB4" w14:textId="317D3BD9" w:rsidR="006758BA" w:rsidRPr="006758BA" w:rsidRDefault="006758BA" w:rsidP="006758BA">
      <w:pPr>
        <w:pStyle w:val="ListBullet"/>
      </w:pPr>
      <w:r w:rsidRPr="006758BA">
        <w:t xml:space="preserve">call the </w:t>
      </w:r>
      <w:r w:rsidR="006E1F3D">
        <w:rPr>
          <w:rStyle w:val="Bold"/>
          <w:rFonts w:asciiTheme="minorHAnsi" w:hAnsiTheme="minorHAnsi" w:cstheme="minorBidi"/>
        </w:rPr>
        <w:t>TCU customer service centre</w:t>
      </w:r>
      <w:r w:rsidRPr="006758BA">
        <w:t xml:space="preserve"> on </w:t>
      </w:r>
      <w:r w:rsidRPr="006758BA">
        <w:rPr>
          <w:rStyle w:val="Bold"/>
          <w:rFonts w:asciiTheme="minorHAnsi" w:hAnsiTheme="minorHAnsi" w:cstheme="minorBidi"/>
        </w:rPr>
        <w:t>1800</w:t>
      </w:r>
      <w:r w:rsidRPr="006758BA">
        <w:rPr>
          <w:rStyle w:val="nobreak"/>
        </w:rPr>
        <w:t xml:space="preserve"> </w:t>
      </w:r>
      <w:r w:rsidRPr="006758BA">
        <w:rPr>
          <w:rStyle w:val="Bold"/>
          <w:rFonts w:asciiTheme="minorHAnsi" w:hAnsiTheme="minorHAnsi" w:cstheme="minorBidi"/>
        </w:rPr>
        <w:t>828</w:t>
      </w:r>
      <w:r w:rsidRPr="006758BA">
        <w:rPr>
          <w:rStyle w:val="nobreak"/>
        </w:rPr>
        <w:t xml:space="preserve"> </w:t>
      </w:r>
      <w:r w:rsidRPr="006758BA">
        <w:rPr>
          <w:rStyle w:val="Bold"/>
          <w:rFonts w:asciiTheme="minorHAnsi" w:hAnsiTheme="minorHAnsi" w:cstheme="minorBidi"/>
        </w:rPr>
        <w:t>232</w:t>
      </w:r>
      <w:r w:rsidRPr="006758BA">
        <w:t xml:space="preserve"> (NT only) if you have a</w:t>
      </w:r>
      <w:r w:rsidRPr="006758BA">
        <w:rPr>
          <w:rStyle w:val="nobreak"/>
        </w:rPr>
        <w:t xml:space="preserve"> </w:t>
      </w:r>
      <w:r w:rsidRPr="006758BA">
        <w:t>TCU</w:t>
      </w:r>
      <w:r w:rsidRPr="006758BA">
        <w:rPr>
          <w:rStyle w:val="nobreak"/>
        </w:rPr>
        <w:t xml:space="preserve"> </w:t>
      </w:r>
      <w:r w:rsidRPr="006758BA">
        <w:t xml:space="preserve">SmartCard </w:t>
      </w:r>
    </w:p>
    <w:p w14:paraId="294F8DC6" w14:textId="77777777" w:rsidR="006758BA" w:rsidRPr="006758BA" w:rsidRDefault="006758BA" w:rsidP="006758BA">
      <w:pPr>
        <w:pStyle w:val="ListBullet"/>
      </w:pPr>
      <w:r w:rsidRPr="006758BA">
        <w:t>visit a Services Australia service centre.</w:t>
      </w:r>
    </w:p>
    <w:p w14:paraId="62601A75" w14:textId="77777777" w:rsidR="00D46546" w:rsidRDefault="00D46546" w:rsidP="00D46546">
      <w:pPr>
        <w:pStyle w:val="BodyText"/>
        <w:spacing w:before="57"/>
      </w:pPr>
      <w:r>
        <w:t xml:space="preserve">For information to help you budget, deal with debt and manage your money, go to </w:t>
      </w:r>
      <w:hyperlink r:id="rId8" w:history="1">
        <w:r>
          <w:rPr>
            <w:rStyle w:val="Hyperlink"/>
          </w:rPr>
          <w:t>servicesaustralia.gov.au/ managing-your-money</w:t>
        </w:r>
      </w:hyperlink>
    </w:p>
    <w:p w14:paraId="1BE3E368" w14:textId="77777777" w:rsidR="00D46546" w:rsidRDefault="00D46546" w:rsidP="00D46546">
      <w:pPr>
        <w:pStyle w:val="BodyText"/>
        <w:spacing w:before="57"/>
      </w:pPr>
      <w:r>
        <w:t>You can find support available through the Support</w:t>
      </w:r>
      <w:r>
        <w:rPr>
          <w:rStyle w:val="nobreak"/>
        </w:rPr>
        <w:t xml:space="preserve"> </w:t>
      </w:r>
      <w:r>
        <w:t xml:space="preserve">Services Directory, go to </w:t>
      </w:r>
      <w:hyperlink r:id="rId9" w:history="1">
        <w:r>
          <w:rPr>
            <w:rStyle w:val="Hyperlink"/>
          </w:rPr>
          <w:t>dss.gov.au/supportservices</w:t>
        </w:r>
      </w:hyperlink>
    </w:p>
    <w:p w14:paraId="1097CBA6" w14:textId="77777777" w:rsidR="00D46546" w:rsidRDefault="00D46546" w:rsidP="00D46546">
      <w:pPr>
        <w:pStyle w:val="BodyText"/>
        <w:spacing w:before="57"/>
      </w:pPr>
      <w:r>
        <w:t xml:space="preserve">If you are a person with disability and need other support, call the Disability Gateway on </w:t>
      </w:r>
      <w:r w:rsidRPr="006758BA">
        <w:rPr>
          <w:rStyle w:val="Bodybold"/>
        </w:rPr>
        <w:t>1800 643 787</w:t>
      </w:r>
      <w:r>
        <w:t xml:space="preserve"> or</w:t>
      </w:r>
      <w:r>
        <w:rPr>
          <w:rStyle w:val="nobreak"/>
        </w:rPr>
        <w:t xml:space="preserve"> </w:t>
      </w:r>
      <w:r>
        <w:t xml:space="preserve">go to </w:t>
      </w:r>
      <w:hyperlink r:id="rId10" w:history="1">
        <w:r>
          <w:rPr>
            <w:rStyle w:val="Hyperlink"/>
          </w:rPr>
          <w:t>disabilitygateway.gov.au</w:t>
        </w:r>
      </w:hyperlink>
      <w:r>
        <w:t xml:space="preserve"> </w:t>
      </w:r>
    </w:p>
    <w:p w14:paraId="36045FEB" w14:textId="2A6C61FE" w:rsidR="00720AD3" w:rsidRDefault="00D46546" w:rsidP="00D46546">
      <w:pPr>
        <w:pStyle w:val="BodyText"/>
      </w:pPr>
      <w:r>
        <w:t xml:space="preserve">Calls to </w:t>
      </w:r>
      <w:r w:rsidRPr="00D46546">
        <w:rPr>
          <w:b/>
          <w:bCs/>
        </w:rPr>
        <w:t>1800</w:t>
      </w:r>
      <w:r>
        <w:t xml:space="preserve"> phone numbers from a fixed phone line or Telstra</w:t>
      </w:r>
      <w:r>
        <w:rPr>
          <w:rStyle w:val="nobreak"/>
          <w:sz w:val="18"/>
          <w:szCs w:val="18"/>
        </w:rPr>
        <w:t xml:space="preserve"> </w:t>
      </w:r>
      <w:r>
        <w:t>payphone are free. But there may be charges for calls</w:t>
      </w:r>
      <w:r>
        <w:rPr>
          <w:rStyle w:val="nobreak"/>
          <w:sz w:val="18"/>
          <w:szCs w:val="18"/>
        </w:rPr>
        <w:t xml:space="preserve"> </w:t>
      </w:r>
      <w:r>
        <w:t>from</w:t>
      </w:r>
      <w:r>
        <w:rPr>
          <w:rStyle w:val="nobreak"/>
          <w:sz w:val="18"/>
          <w:szCs w:val="18"/>
        </w:rPr>
        <w:t xml:space="preserve"> </w:t>
      </w:r>
      <w:r>
        <w:t>mobile phones depending on the provider and</w:t>
      </w:r>
      <w:r>
        <w:rPr>
          <w:rStyle w:val="nobreak"/>
          <w:sz w:val="18"/>
          <w:szCs w:val="18"/>
        </w:rPr>
        <w:t xml:space="preserve"> </w:t>
      </w:r>
      <w:r>
        <w:t>call</w:t>
      </w:r>
      <w:r>
        <w:rPr>
          <w:rStyle w:val="nobreak"/>
          <w:sz w:val="18"/>
          <w:szCs w:val="18"/>
        </w:rPr>
        <w:t xml:space="preserve"> </w:t>
      </w:r>
      <w:r>
        <w:t>length.</w:t>
      </w:r>
    </w:p>
    <w:p w14:paraId="0975D482" w14:textId="4300C6F9" w:rsidR="00E018DC" w:rsidRPr="00374B97" w:rsidRDefault="00D46546" w:rsidP="00D46546">
      <w:pPr>
        <w:pStyle w:val="ProductCode"/>
      </w:pPr>
      <w:bookmarkStart w:id="0" w:name="ColumnTitle_Schedule"/>
      <w:bookmarkEnd w:id="0"/>
      <w:r>
        <w:t>16151.23</w:t>
      </w:r>
      <w:r w:rsidR="006E1F3D">
        <w:t>12</w:t>
      </w:r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E74F" w14:textId="77777777" w:rsidR="00720AD3" w:rsidRDefault="00720AD3" w:rsidP="00C77FE4">
      <w:r>
        <w:separator/>
      </w:r>
    </w:p>
  </w:endnote>
  <w:endnote w:type="continuationSeparator" w:id="0">
    <w:p w14:paraId="1DDD5173" w14:textId="77777777" w:rsidR="00720AD3" w:rsidRDefault="00720AD3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3D32" w14:textId="77777777" w:rsidR="00720AD3" w:rsidRDefault="00720AD3" w:rsidP="00C77FE4">
      <w:r>
        <w:separator/>
      </w:r>
    </w:p>
  </w:footnote>
  <w:footnote w:type="continuationSeparator" w:id="0">
    <w:p w14:paraId="084F28E6" w14:textId="77777777" w:rsidR="00720AD3" w:rsidRDefault="00720AD3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00339">
    <w:abstractNumId w:val="9"/>
  </w:num>
  <w:num w:numId="2" w16cid:durableId="1580486154">
    <w:abstractNumId w:val="7"/>
  </w:num>
  <w:num w:numId="3" w16cid:durableId="1436632018">
    <w:abstractNumId w:val="6"/>
  </w:num>
  <w:num w:numId="4" w16cid:durableId="192765176">
    <w:abstractNumId w:val="5"/>
  </w:num>
  <w:num w:numId="5" w16cid:durableId="844246265">
    <w:abstractNumId w:val="4"/>
  </w:num>
  <w:num w:numId="6" w16cid:durableId="1856651295">
    <w:abstractNumId w:val="8"/>
  </w:num>
  <w:num w:numId="7" w16cid:durableId="385955659">
    <w:abstractNumId w:val="3"/>
  </w:num>
  <w:num w:numId="8" w16cid:durableId="1031996109">
    <w:abstractNumId w:val="2"/>
  </w:num>
  <w:num w:numId="9" w16cid:durableId="211893001">
    <w:abstractNumId w:val="1"/>
  </w:num>
  <w:num w:numId="10" w16cid:durableId="1805587359">
    <w:abstractNumId w:val="0"/>
  </w:num>
  <w:num w:numId="11" w16cid:durableId="1938752699">
    <w:abstractNumId w:val="10"/>
  </w:num>
  <w:num w:numId="12" w16cid:durableId="707991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D3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3F81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1378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067D0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D09B6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58BA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E1F3D"/>
    <w:rsid w:val="006F3A95"/>
    <w:rsid w:val="00705895"/>
    <w:rsid w:val="00705D14"/>
    <w:rsid w:val="00716746"/>
    <w:rsid w:val="00720AD3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95688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13D6C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35A9B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6546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16C9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EFE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20AD3"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D46546"/>
    <w:pPr>
      <w:keepNext/>
      <w:tabs>
        <w:tab w:val="left" w:pos="1066"/>
      </w:tabs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</w:style>
  <w:style w:type="paragraph" w:styleId="TOC2">
    <w:name w:val="toc 2"/>
    <w:basedOn w:val="Normal"/>
    <w:next w:val="Normal"/>
    <w:autoRedefine/>
    <w:semiHidden/>
    <w:rsid w:val="000F2731"/>
    <w:pPr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customStyle="1" w:styleId="NoParagraphStyle">
    <w:name w:val="[No Paragraph Style]"/>
    <w:rsid w:val="00720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720AD3"/>
    <w:rPr>
      <w:rFonts w:ascii="Arial" w:hAnsi="Arial"/>
      <w:sz w:val="24"/>
      <w:szCs w:val="24"/>
      <w:lang w:eastAsia="en-US"/>
    </w:rPr>
  </w:style>
  <w:style w:type="paragraph" w:customStyle="1" w:styleId="CallOutCopy01">
    <w:name w:val="Call Out Copy 01"/>
    <w:basedOn w:val="BodyText"/>
    <w:uiPriority w:val="99"/>
    <w:rsid w:val="00720AD3"/>
    <w:pPr>
      <w:widowControl w:val="0"/>
      <w:tabs>
        <w:tab w:val="left" w:pos="170"/>
        <w:tab w:val="left" w:pos="397"/>
      </w:tabs>
      <w:suppressAutoHyphens/>
      <w:autoSpaceDE w:val="0"/>
      <w:autoSpaceDN w:val="0"/>
      <w:adjustRightInd w:val="0"/>
      <w:spacing w:before="0" w:after="397" w:line="440" w:lineRule="atLeast"/>
      <w:textAlignment w:val="center"/>
    </w:pPr>
    <w:rPr>
      <w:rFonts w:ascii="Roboto-Regular" w:hAnsi="Roboto-Regular" w:cs="Roboto-Regular"/>
      <w:color w:val="000000"/>
      <w:sz w:val="36"/>
      <w:szCs w:val="36"/>
      <w:lang w:val="en-US"/>
    </w:rPr>
  </w:style>
  <w:style w:type="paragraph" w:customStyle="1" w:styleId="shadedpara">
    <w:name w:val="shaded para"/>
    <w:basedOn w:val="BodyText"/>
    <w:uiPriority w:val="99"/>
    <w:rsid w:val="00720AD3"/>
    <w:pPr>
      <w:widowControl w:val="0"/>
      <w:shd w:val="clear" w:color="auto" w:fill="61B4E3"/>
      <w:tabs>
        <w:tab w:val="left" w:pos="170"/>
        <w:tab w:val="left" w:pos="397"/>
      </w:tabs>
      <w:suppressAutoHyphens/>
      <w:autoSpaceDE w:val="0"/>
      <w:autoSpaceDN w:val="0"/>
      <w:adjustRightInd w:val="0"/>
      <w:spacing w:before="0" w:after="170" w:line="240" w:lineRule="atLeast"/>
      <w:ind w:left="850" w:right="113"/>
      <w:textAlignment w:val="center"/>
    </w:pPr>
    <w:rPr>
      <w:rFonts w:ascii="Roboto-Regular" w:hAnsi="Roboto-Regular" w:cs="Roboto-Regular"/>
      <w:color w:val="000000"/>
      <w:sz w:val="20"/>
      <w:szCs w:val="20"/>
      <w:lang w:val="en-US"/>
    </w:rPr>
  </w:style>
  <w:style w:type="paragraph" w:customStyle="1" w:styleId="Tableheading01">
    <w:name w:val="Table heading 01"/>
    <w:basedOn w:val="BodyText"/>
    <w:uiPriority w:val="99"/>
    <w:rsid w:val="00720AD3"/>
    <w:pPr>
      <w:widowControl w:val="0"/>
      <w:tabs>
        <w:tab w:val="left" w:pos="170"/>
        <w:tab w:val="left" w:pos="397"/>
      </w:tabs>
      <w:suppressAutoHyphens/>
      <w:autoSpaceDE w:val="0"/>
      <w:autoSpaceDN w:val="0"/>
      <w:adjustRightInd w:val="0"/>
      <w:spacing w:before="0" w:after="0" w:line="240" w:lineRule="atLeast"/>
      <w:textAlignment w:val="center"/>
    </w:pPr>
    <w:rPr>
      <w:rFonts w:ascii="Roboto-Bold" w:hAnsi="Roboto-Bold" w:cs="Roboto-Bold"/>
      <w:b/>
      <w:bCs/>
      <w:color w:val="000000"/>
      <w:sz w:val="20"/>
      <w:szCs w:val="20"/>
      <w:lang w:val="en-US"/>
    </w:rPr>
  </w:style>
  <w:style w:type="character" w:customStyle="1" w:styleId="nobreak">
    <w:name w:val="no break"/>
    <w:uiPriority w:val="99"/>
    <w:rsid w:val="00720AD3"/>
  </w:style>
  <w:style w:type="character" w:styleId="CommentReference">
    <w:name w:val="annotation reference"/>
    <w:basedOn w:val="DefaultParagraphFont"/>
    <w:uiPriority w:val="99"/>
    <w:rsid w:val="00720AD3"/>
    <w:rPr>
      <w:w w:val="100"/>
      <w:sz w:val="16"/>
      <w:szCs w:val="16"/>
    </w:rPr>
  </w:style>
  <w:style w:type="character" w:styleId="Hyperlink">
    <w:name w:val="Hyperlink"/>
    <w:basedOn w:val="DefaultParagraphFont"/>
    <w:uiPriority w:val="99"/>
    <w:rsid w:val="00720AD3"/>
    <w:rPr>
      <w:b/>
      <w:bCs/>
      <w:color w:val="000000"/>
      <w:u w:val="none"/>
    </w:rPr>
  </w:style>
  <w:style w:type="character" w:customStyle="1" w:styleId="Bold">
    <w:name w:val="Bold"/>
    <w:uiPriority w:val="99"/>
    <w:rsid w:val="00720AD3"/>
    <w:rPr>
      <w:rFonts w:ascii="Roboto-Bold" w:hAnsi="Roboto-Bold" w:cs="Roboto-Bold"/>
      <w:b/>
      <w:bCs/>
    </w:rPr>
  </w:style>
  <w:style w:type="table" w:styleId="ListTable3">
    <w:name w:val="List Table 3"/>
    <w:basedOn w:val="TableNormal"/>
    <w:uiPriority w:val="48"/>
    <w:rsid w:val="00D465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465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465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465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D465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465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4654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465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1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6C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1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6C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australia.gov.au/%20managing-your-mon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saustralia.gov.au/smartc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isabilitygateway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s.gov.au/support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 and</dc:title>
  <dc:subject/>
  <dc:creator>Services Australia</dc:creator>
  <cp:keywords>16151.2312</cp:keywords>
  <dc:description/>
  <cp:lastModifiedBy/>
  <cp:revision>1</cp:revision>
  <dcterms:created xsi:type="dcterms:W3CDTF">2023-09-04T00:19:00Z</dcterms:created>
  <dcterms:modified xsi:type="dcterms:W3CDTF">2023-12-14T03:59:00Z</dcterms:modified>
</cp:coreProperties>
</file>